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77" w:rsidRPr="00A33090" w:rsidRDefault="00A33090">
      <w:pPr>
        <w:pStyle w:val="Title"/>
        <w:rPr>
          <w:sz w:val="44"/>
          <w:szCs w:val="44"/>
          <w:lang w:val="en-US"/>
        </w:rPr>
      </w:pPr>
      <w:r w:rsidRPr="00A33090">
        <w:rPr>
          <w:sz w:val="44"/>
          <w:szCs w:val="44"/>
          <w:lang w:val="en-US"/>
        </w:rPr>
        <w:t>Workshop OMICS days in Montpellier 2015</w:t>
      </w:r>
    </w:p>
    <w:tbl>
      <w:tblPr>
        <w:tblW w:w="10720" w:type="dxa"/>
        <w:tblInd w:w="-9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003"/>
      </w:tblGrid>
      <w:tr w:rsidR="00164677" w:rsidRPr="0074407E" w:rsidTr="00B23209">
        <w:tc>
          <w:tcPr>
            <w:tcW w:w="10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64677" w:rsidRDefault="00E0037E">
            <w:pPr>
              <w:spacing w:after="0"/>
              <w:rPr>
                <w:rStyle w:val="Strong"/>
                <w:sz w:val="24"/>
                <w:szCs w:val="24"/>
                <w:lang w:val="en-US"/>
              </w:rPr>
            </w:pPr>
            <w:r>
              <w:rPr>
                <w:rStyle w:val="Strong"/>
                <w:sz w:val="24"/>
                <w:szCs w:val="24"/>
                <w:lang w:val="en-US"/>
              </w:rPr>
              <w:t>IMGT</w:t>
            </w:r>
            <w:r w:rsidR="0091204D" w:rsidRPr="00E0037E">
              <w:rPr>
                <w:rFonts w:ascii="Helvetica" w:hAnsi="Helvetica"/>
                <w:sz w:val="20"/>
                <w:szCs w:val="20"/>
                <w:lang w:val="en-US"/>
              </w:rPr>
              <w:t>®</w:t>
            </w:r>
            <w:r>
              <w:rPr>
                <w:rStyle w:val="Strong"/>
                <w:sz w:val="24"/>
                <w:szCs w:val="24"/>
                <w:lang w:val="en-US"/>
              </w:rPr>
              <w:t xml:space="preserve">, the Global Reference in </w:t>
            </w:r>
            <w:proofErr w:type="spellStart"/>
            <w:r>
              <w:rPr>
                <w:rStyle w:val="Strong"/>
                <w:sz w:val="24"/>
                <w:szCs w:val="24"/>
                <w:lang w:val="en-US"/>
              </w:rPr>
              <w:t>Immunogenetics</w:t>
            </w:r>
            <w:proofErr w:type="spellEnd"/>
            <w:r>
              <w:rPr>
                <w:rStyle w:val="Strong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Style w:val="Strong"/>
                <w:sz w:val="24"/>
                <w:szCs w:val="24"/>
                <w:lang w:val="en-US"/>
              </w:rPr>
              <w:t>Immunoinformatics</w:t>
            </w:r>
            <w:proofErr w:type="spellEnd"/>
          </w:p>
        </w:tc>
      </w:tr>
      <w:tr w:rsidR="00164677" w:rsidTr="00B23209">
        <w:tc>
          <w:tcPr>
            <w:tcW w:w="10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64677" w:rsidRDefault="00E0037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164677" w:rsidRPr="0074407E" w:rsidTr="00B23209">
        <w:tc>
          <w:tcPr>
            <w:tcW w:w="10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64677" w:rsidRPr="00E0037E" w:rsidRDefault="00E0037E">
            <w:pPr>
              <w:spacing w:after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IMGT®, the international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ImMunoGeneTics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information system® (http://www.imgt.org) was created in 1989 by the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Laboratoire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d'ImmunoGénétique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Moléculaire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(LIGM) of the Professors Marie-Paule Lefranc and Gérard Lefranc (University Montpellier 2 and CNRS) at Montpellier, France. IMGT® is the global reference in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immunogenetics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immunoinformatics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and is the first and, up to now, the only integrated information system in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immunogenetics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immunoinformatics</w:t>
            </w:r>
            <w:proofErr w:type="spellEnd"/>
            <w:r w:rsidRPr="00E0037E">
              <w:rPr>
                <w:rFonts w:ascii="Helvetica" w:hAnsi="Helvetica"/>
                <w:sz w:val="20"/>
                <w:szCs w:val="20"/>
                <w:lang w:val="en-US"/>
              </w:rPr>
              <w:t>.</w:t>
            </w:r>
          </w:p>
          <w:p w:rsidR="00164677" w:rsidRPr="00E0037E" w:rsidRDefault="00164677">
            <w:pPr>
              <w:spacing w:after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</w:p>
          <w:p w:rsidR="00164677" w:rsidRPr="00E0037E" w:rsidRDefault="00F6216F">
            <w:pPr>
              <w:spacing w:after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The aim of the workshop</w:t>
            </w:r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is to 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familiarise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biologists, 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bioinformaticians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and computer scientists involved in 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immunogenetics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immunoinformatics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research projects with the IMGT unique approach which bridges the gap from genes to 3D structures for immunoglobulin and T cell receptor repertoire analysis from fishes to humans, and for antibody engineering and humanization.</w:t>
            </w:r>
          </w:p>
          <w:p w:rsidR="00164677" w:rsidRPr="00E0037E" w:rsidRDefault="00164677">
            <w:pPr>
              <w:spacing w:after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</w:p>
          <w:p w:rsidR="00164677" w:rsidRPr="00E0037E" w:rsidRDefault="00F6216F" w:rsidP="00F6216F">
            <w:pPr>
              <w:spacing w:after="0"/>
              <w:jc w:val="both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This workshop</w:t>
            </w:r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will start with an overview of the IMGT® system built on the IMGT-ONTOLOGY axioms and concep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ts, and of its major databases.</w:t>
            </w:r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The main topics will be presented from sequences to structures and exemplified with IMGT/V-QUEST and IMGT/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JunctionAnalysis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for the analysis of nucleotide sequences and IMGT/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DomainGapAlign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for amino acid sequences, IMGT/3Dstructure-DB for 3D structures, contact analysis and 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paratope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/epitope interactions, and the IMGT/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mAb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-DB interface with access to </w:t>
            </w:r>
            <w:proofErr w:type="spellStart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>therapeutical</w:t>
            </w:r>
            <w:proofErr w:type="spellEnd"/>
            <w:r w:rsidR="00E0037E" w:rsidRPr="00E0037E">
              <w:rPr>
                <w:rFonts w:ascii="Helvetica" w:hAnsi="Helvetica"/>
                <w:sz w:val="20"/>
                <w:szCs w:val="20"/>
                <w:lang w:val="en-US"/>
              </w:rPr>
              <w:t xml:space="preserve"> antibodies data.</w:t>
            </w:r>
          </w:p>
        </w:tc>
      </w:tr>
      <w:tr w:rsidR="00164677" w:rsidTr="00B23209">
        <w:tc>
          <w:tcPr>
            <w:tcW w:w="10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64677" w:rsidRDefault="00E0037E">
            <w:pPr>
              <w:spacing w:after="0"/>
              <w:rPr>
                <w:b/>
              </w:rPr>
            </w:pPr>
            <w:r>
              <w:rPr>
                <w:b/>
              </w:rPr>
              <w:t xml:space="preserve">Program </w:t>
            </w:r>
          </w:p>
        </w:tc>
      </w:tr>
      <w:tr w:rsidR="00164677" w:rsidRPr="00E73110" w:rsidTr="00B23209">
        <w:tc>
          <w:tcPr>
            <w:tcW w:w="10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3EC1" w:rsidRDefault="00233EC1" w:rsidP="00EE15F1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  <w:p w:rsidR="003D67A5" w:rsidRPr="00845E43" w:rsidRDefault="003D67A5" w:rsidP="00EE15F1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845E43">
              <w:rPr>
                <w:rFonts w:ascii="Helvetica" w:hAnsi="Helvetica"/>
                <w:b/>
                <w:sz w:val="20"/>
                <w:szCs w:val="20"/>
              </w:rPr>
              <w:t xml:space="preserve">Session 1. </w:t>
            </w:r>
            <w:r w:rsidR="00BD0D3F" w:rsidRPr="00845E43">
              <w:rPr>
                <w:rFonts w:ascii="Helvetica" w:hAnsi="Helvetica"/>
                <w:b/>
                <w:sz w:val="20"/>
                <w:szCs w:val="20"/>
              </w:rPr>
              <w:t xml:space="preserve">IMGT </w:t>
            </w:r>
            <w:proofErr w:type="spellStart"/>
            <w:r w:rsidR="00BD0D3F" w:rsidRPr="00845E43">
              <w:rPr>
                <w:rFonts w:ascii="Helvetica" w:hAnsi="Helvetica"/>
                <w:b/>
                <w:sz w:val="20"/>
                <w:szCs w:val="20"/>
              </w:rPr>
              <w:t>immunoinformatics</w:t>
            </w:r>
            <w:proofErr w:type="spellEnd"/>
            <w:r w:rsidR="001656A5" w:rsidRPr="00845E43">
              <w:rPr>
                <w:rFonts w:ascii="Helvetica" w:hAnsi="Helvetica"/>
                <w:b/>
                <w:sz w:val="20"/>
                <w:szCs w:val="20"/>
              </w:rPr>
              <w:t xml:space="preserve"> for </w:t>
            </w:r>
            <w:proofErr w:type="spellStart"/>
            <w:r w:rsidR="001656A5" w:rsidRPr="00845E43">
              <w:rPr>
                <w:rFonts w:ascii="Helvetica" w:hAnsi="Helvetica"/>
                <w:b/>
                <w:sz w:val="20"/>
                <w:szCs w:val="20"/>
              </w:rPr>
              <w:t>repertoire</w:t>
            </w:r>
            <w:proofErr w:type="spellEnd"/>
            <w:r w:rsidR="001656A5" w:rsidRPr="00845E43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="001656A5" w:rsidRPr="00845E43">
              <w:rPr>
                <w:rFonts w:ascii="Helvetica" w:hAnsi="Helvetica"/>
                <w:b/>
                <w:sz w:val="20"/>
                <w:szCs w:val="20"/>
              </w:rPr>
              <w:t>analysis</w:t>
            </w:r>
            <w:proofErr w:type="spellEnd"/>
            <w:r w:rsidR="001656A5" w:rsidRPr="00845E43">
              <w:rPr>
                <w:rFonts w:ascii="Helvetica" w:hAnsi="Helvetica"/>
                <w:b/>
                <w:sz w:val="20"/>
                <w:szCs w:val="20"/>
              </w:rPr>
              <w:t xml:space="preserve"> of the adaptive immune </w:t>
            </w:r>
            <w:proofErr w:type="spellStart"/>
            <w:r w:rsidR="001656A5" w:rsidRPr="00845E43">
              <w:rPr>
                <w:rFonts w:ascii="Helvetica" w:hAnsi="Helvetica"/>
                <w:b/>
                <w:sz w:val="20"/>
                <w:szCs w:val="20"/>
              </w:rPr>
              <w:t>response</w:t>
            </w:r>
            <w:proofErr w:type="spellEnd"/>
          </w:p>
          <w:p w:rsidR="00EE15F1" w:rsidRPr="00845E43" w:rsidRDefault="00EE15F1" w:rsidP="00EE15F1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:rsidR="00A33090" w:rsidRDefault="00A33090" w:rsidP="00A33090">
            <w:pPr>
              <w:suppressAutoHyphens w:val="0"/>
              <w:spacing w:after="0" w:line="240" w:lineRule="auto"/>
              <w:rPr>
                <w:b/>
              </w:rPr>
            </w:pPr>
            <w:r w:rsidRPr="00F53E3B">
              <w:rPr>
                <w:b/>
              </w:rPr>
              <w:t>Exercice pratique</w:t>
            </w:r>
            <w:r>
              <w:rPr>
                <w:b/>
              </w:rPr>
              <w:t> : Analyse des gènes V, D, J</w:t>
            </w:r>
          </w:p>
          <w:p w:rsidR="00A33090" w:rsidRPr="00F53E3B" w:rsidRDefault="00A33090" w:rsidP="00A33090">
            <w:pPr>
              <w:spacing w:line="240" w:lineRule="auto"/>
            </w:pPr>
            <w:r w:rsidRPr="00F53E3B">
              <w:sym w:font="Wingdings" w:char="F0E8"/>
            </w:r>
            <w:r w:rsidRPr="00F53E3B">
              <w:t xml:space="preserve"> A partir de "Gene tables", cliquer sur le numéro d'accès </w:t>
            </w:r>
            <w:r w:rsidRPr="00AA70BD">
              <w:rPr>
                <w:b/>
              </w:rPr>
              <w:t>X07448</w:t>
            </w:r>
            <w:r w:rsidRPr="00F53E3B">
              <w:t xml:space="preserve"> (</w:t>
            </w:r>
            <w:r w:rsidRPr="00AA70BD">
              <w:t>IGHV1-2*01</w:t>
            </w:r>
            <w:r w:rsidRPr="00F53E3B">
              <w:t>)</w:t>
            </w:r>
          </w:p>
          <w:p w:rsidR="00A33090" w:rsidRPr="00F53E3B" w:rsidRDefault="00A33090" w:rsidP="00A33090">
            <w:pPr>
              <w:spacing w:line="240" w:lineRule="auto"/>
              <w:ind w:left="360"/>
            </w:pPr>
            <w:r w:rsidRPr="00F53E3B">
              <w:rPr>
                <w:u w:val="single"/>
              </w:rPr>
              <w:t>Se familiariser avec un fichier à plat (flat-file) d’IMGT/LIGM-DB</w:t>
            </w:r>
          </w:p>
          <w:p w:rsidR="007B7BE2" w:rsidRDefault="007B7BE2" w:rsidP="00F6216F">
            <w:pPr>
              <w:suppressAutoHyphens w:val="0"/>
              <w:spacing w:after="0" w:line="240" w:lineRule="auto"/>
              <w:ind w:left="720"/>
              <w:rPr>
                <w:b/>
              </w:rPr>
            </w:pPr>
            <w:r w:rsidRPr="00B85562">
              <w:rPr>
                <w:b/>
              </w:rPr>
              <w:t>Exercice pratique : Analyse des séquences réarrangées grâce aux outils IMGT/V-QUEST (pour les séquences nucléotidiques), IMGT/</w:t>
            </w:r>
            <w:proofErr w:type="spellStart"/>
            <w:r w:rsidRPr="00B85562">
              <w:rPr>
                <w:b/>
              </w:rPr>
              <w:t>DomainGapAlign</w:t>
            </w:r>
            <w:proofErr w:type="spellEnd"/>
            <w:r w:rsidRPr="00B85562">
              <w:rPr>
                <w:b/>
              </w:rPr>
              <w:t xml:space="preserve"> et IMGT/Collier-de-</w:t>
            </w:r>
            <w:r w:rsidR="00943EE3">
              <w:rPr>
                <w:b/>
              </w:rPr>
              <w:t>P</w:t>
            </w:r>
            <w:r w:rsidRPr="00B85562">
              <w:rPr>
                <w:b/>
              </w:rPr>
              <w:t>erles (pour les séquences protéiques)</w:t>
            </w:r>
          </w:p>
          <w:p w:rsidR="00F6216F" w:rsidRPr="00B85562" w:rsidRDefault="00F6216F" w:rsidP="00F6216F">
            <w:pPr>
              <w:suppressAutoHyphens w:val="0"/>
              <w:spacing w:after="0" w:line="240" w:lineRule="auto"/>
              <w:ind w:left="720"/>
              <w:rPr>
                <w:b/>
              </w:rPr>
            </w:pPr>
          </w:p>
          <w:p w:rsidR="007B7BE2" w:rsidRPr="00B85562" w:rsidRDefault="007B7BE2" w:rsidP="00BB4BE1">
            <w:pPr>
              <w:suppressAutoHyphens w:val="0"/>
              <w:spacing w:after="0" w:line="240" w:lineRule="auto"/>
              <w:ind w:left="1080"/>
            </w:pPr>
            <w:r w:rsidRPr="00B85562">
              <w:t>Exemple d’utilisation des outils avec le domaine VH (</w:t>
            </w:r>
            <w:r w:rsidRPr="00B85562">
              <w:rPr>
                <w:b/>
              </w:rPr>
              <w:t>séquences humaines</w:t>
            </w:r>
            <w:r w:rsidRPr="00B85562">
              <w:t xml:space="preserve"> </w:t>
            </w:r>
            <w:r w:rsidRPr="00502419">
              <w:rPr>
                <w:b/>
              </w:rPr>
              <w:t>trouvées dans le set de séquences tests fourni par IMGT/V-QUEST</w:t>
            </w:r>
            <w:r w:rsidRPr="00B85562">
              <w:rPr>
                <w:b/>
              </w:rPr>
              <w:t>)</w:t>
            </w:r>
          </w:p>
          <w:p w:rsidR="00F6216F" w:rsidRDefault="007B7BE2" w:rsidP="00F6216F">
            <w:pPr>
              <w:pStyle w:val="ListParagraph"/>
              <w:numPr>
                <w:ilvl w:val="0"/>
                <w:numId w:val="17"/>
              </w:numPr>
            </w:pPr>
            <w:r w:rsidRPr="00B85562">
              <w:t xml:space="preserve">accession </w:t>
            </w:r>
            <w:proofErr w:type="spellStart"/>
            <w:r w:rsidRPr="00B85562">
              <w:t>number</w:t>
            </w:r>
            <w:proofErr w:type="spellEnd"/>
            <w:r w:rsidRPr="00B85562">
              <w:t>:</w:t>
            </w:r>
            <w:proofErr w:type="gramStart"/>
            <w:r w:rsidRPr="00B85562">
              <w:t xml:space="preserve">  </w:t>
            </w:r>
            <w:r w:rsidRPr="00F6216F">
              <w:rPr>
                <w:b/>
              </w:rPr>
              <w:t>&gt;</w:t>
            </w:r>
            <w:proofErr w:type="gramEnd"/>
            <w:r w:rsidRPr="00F6216F">
              <w:rPr>
                <w:b/>
              </w:rPr>
              <w:t>AF015123</w:t>
            </w:r>
          </w:p>
          <w:p w:rsidR="007B7BE2" w:rsidRPr="00B85562" w:rsidRDefault="007B7BE2" w:rsidP="00F6216F">
            <w:pPr>
              <w:pStyle w:val="ListParagraph"/>
              <w:numPr>
                <w:ilvl w:val="0"/>
                <w:numId w:val="17"/>
              </w:numPr>
            </w:pPr>
            <w:r w:rsidRPr="00B85562">
              <w:t xml:space="preserve">accession </w:t>
            </w:r>
            <w:proofErr w:type="spellStart"/>
            <w:r w:rsidRPr="00B85562">
              <w:t>number</w:t>
            </w:r>
            <w:proofErr w:type="spellEnd"/>
            <w:r w:rsidRPr="00B85562">
              <w:t>:</w:t>
            </w:r>
            <w:proofErr w:type="gramStart"/>
            <w:r w:rsidRPr="00B85562">
              <w:t xml:space="preserve">  </w:t>
            </w:r>
            <w:r w:rsidRPr="00F6216F">
              <w:rPr>
                <w:b/>
              </w:rPr>
              <w:t>&gt;</w:t>
            </w:r>
            <w:proofErr w:type="gramEnd"/>
            <w:r w:rsidRPr="00F6216F">
              <w:rPr>
                <w:b/>
              </w:rPr>
              <w:t xml:space="preserve"> DQ100777</w:t>
            </w:r>
          </w:p>
          <w:p w:rsidR="007B7BE2" w:rsidRPr="00B85562" w:rsidRDefault="007B7BE2" w:rsidP="00F6216F">
            <w:pPr>
              <w:pStyle w:val="ListParagraph"/>
              <w:numPr>
                <w:ilvl w:val="0"/>
                <w:numId w:val="17"/>
              </w:numPr>
            </w:pPr>
            <w:r w:rsidRPr="00B85562">
              <w:t xml:space="preserve">accession </w:t>
            </w:r>
            <w:proofErr w:type="spellStart"/>
            <w:r w:rsidRPr="00B85562">
              <w:t>number</w:t>
            </w:r>
            <w:proofErr w:type="spellEnd"/>
            <w:proofErr w:type="gramStart"/>
            <w:r w:rsidRPr="00B85562">
              <w:t xml:space="preserve">:  </w:t>
            </w:r>
            <w:r w:rsidRPr="00F6216F">
              <w:rPr>
                <w:b/>
              </w:rPr>
              <w:t>&gt;</w:t>
            </w:r>
            <w:proofErr w:type="gramEnd"/>
            <w:r w:rsidRPr="00F6216F">
              <w:rPr>
                <w:b/>
              </w:rPr>
              <w:t xml:space="preserve"> L26531</w:t>
            </w:r>
            <w:r w:rsidRPr="00B85562">
              <w:t xml:space="preserve"> (</w:t>
            </w:r>
            <w:r>
              <w:t xml:space="preserve">utilisez les </w:t>
            </w:r>
            <w:r w:rsidRPr="00B85562">
              <w:t>paramètres avancées pour</w:t>
            </w:r>
            <w:r>
              <w:t xml:space="preserve"> les</w:t>
            </w:r>
            <w:r w:rsidRPr="00B85562">
              <w:t xml:space="preserve"> </w:t>
            </w:r>
            <w:r>
              <w:t xml:space="preserve">séquences avec </w:t>
            </w:r>
            <w:r w:rsidRPr="00B85562">
              <w:t>délétions</w:t>
            </w:r>
            <w:r>
              <w:t>/insertions</w:t>
            </w:r>
            <w:r w:rsidRPr="00B85562">
              <w:t>)</w:t>
            </w:r>
          </w:p>
          <w:p w:rsidR="00F6216F" w:rsidRDefault="007B7BE2" w:rsidP="00F6216F">
            <w:pPr>
              <w:ind w:left="1125"/>
              <w:rPr>
                <w:b/>
              </w:rPr>
            </w:pPr>
            <w:r w:rsidRPr="00782D53">
              <w:t>a)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B85562">
              <w:t xml:space="preserve">Faites une analyse </w:t>
            </w:r>
            <w:r w:rsidRPr="00B85562">
              <w:rPr>
                <w:b/>
              </w:rPr>
              <w:t>IMGT/V-QUEST</w:t>
            </w:r>
            <w:r w:rsidRPr="00B85562">
              <w:t xml:space="preserve"> à partir de ces </w:t>
            </w:r>
            <w:r w:rsidRPr="00B85562">
              <w:rPr>
                <w:b/>
              </w:rPr>
              <w:t>3 séquences humaines</w:t>
            </w:r>
            <w:r w:rsidR="00233EC1">
              <w:rPr>
                <w:b/>
              </w:rPr>
              <w:t xml:space="preserve"> </w:t>
            </w:r>
          </w:p>
          <w:p w:rsidR="007B7BE2" w:rsidRPr="00F6216F" w:rsidRDefault="007B7BE2" w:rsidP="00F6216F">
            <w:pPr>
              <w:ind w:left="1125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</w:rPr>
              <w:tab/>
              <w:t xml:space="preserve">         </w:t>
            </w:r>
            <w:r w:rsidRPr="00B85562">
              <w:t>donnez le nom des allèles des V, D et J-GENE les plus proches de votre séquence requête</w:t>
            </w:r>
            <w:r>
              <w:t xml:space="preserve"> (dans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>)</w:t>
            </w:r>
          </w:p>
          <w:p w:rsidR="007B7BE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quelle est la fonctionnalité de la séquence réarrangée ?</w:t>
            </w:r>
            <w:r>
              <w:t xml:space="preserve"> Expliquez.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notez la longueur des CDR</w:t>
            </w:r>
            <w:r>
              <w:t xml:space="preserve"> (dans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>)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8E528F">
              <w:rPr>
                <w:b/>
              </w:rPr>
              <w:t>Pour la séquence DQ100777</w:t>
            </w:r>
            <w:r>
              <w:rPr>
                <w:b/>
              </w:rPr>
              <w:t> :</w:t>
            </w:r>
            <w:r>
              <w:t xml:space="preserve"> quel est le taux de mutation du V-GENE? Q</w:t>
            </w:r>
            <w:r w:rsidRPr="00B85562">
              <w:t>uelle est la signification d’un tel taux de mutation (séquences nucléotidiques) dans le V-GENE par rapport au pronostique des patients atteints d’une leucémie lymphoïde chronique? (</w:t>
            </w:r>
            <w:r>
              <w:t xml:space="preserve">dans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 w:rsidRPr="00B85562">
              <w:t>)</w:t>
            </w:r>
          </w:p>
          <w:p w:rsidR="007B7BE2" w:rsidRPr="00B85562" w:rsidRDefault="007B7BE2" w:rsidP="00F6216F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8E528F">
              <w:rPr>
                <w:b/>
              </w:rPr>
              <w:t>Pour la séquence DQ100777</w:t>
            </w:r>
            <w:r>
              <w:rPr>
                <w:b/>
              </w:rPr>
              <w:t> </w:t>
            </w:r>
            <w:r>
              <w:t xml:space="preserve">: </w:t>
            </w:r>
            <w:r w:rsidRPr="00B85562">
              <w:t>où sont localisé</w:t>
            </w:r>
            <w:r w:rsidR="00943EE3">
              <w:t>e</w:t>
            </w:r>
            <w:r w:rsidRPr="00B85562">
              <w:t>s les mutations</w:t>
            </w:r>
            <w:r>
              <w:t> ?</w:t>
            </w:r>
            <w:r w:rsidRPr="00B85562">
              <w:t xml:space="preserve"> (</w:t>
            </w:r>
            <w:r w:rsidRPr="00DC7C2C">
              <w:rPr>
                <w:b/>
              </w:rPr>
              <w:t>point 9</w:t>
            </w:r>
            <w:r w:rsidRPr="00B85562">
              <w:t> : tableau de mutations)</w:t>
            </w:r>
          </w:p>
          <w:p w:rsidR="007B7BE2" w:rsidRDefault="007B7BE2" w:rsidP="007B7BE2">
            <w:pPr>
              <w:numPr>
                <w:ilvl w:val="2"/>
                <w:numId w:val="3"/>
              </w:numPr>
              <w:tabs>
                <w:tab w:val="clear" w:pos="2340"/>
                <w:tab w:val="num" w:pos="1440"/>
              </w:tabs>
              <w:suppressAutoHyphens w:val="0"/>
              <w:spacing w:after="0" w:line="240" w:lineRule="auto"/>
              <w:ind w:left="1080" w:firstLine="0"/>
            </w:pPr>
            <w:r>
              <w:rPr>
                <w:b/>
              </w:rPr>
              <w:t>Pour la</w:t>
            </w:r>
            <w:r w:rsidRPr="008E528F">
              <w:rPr>
                <w:b/>
              </w:rPr>
              <w:t xml:space="preserve"> séquence DQ100777</w:t>
            </w:r>
            <w:r>
              <w:rPr>
                <w:b/>
              </w:rPr>
              <w:t> </w:t>
            </w:r>
            <w:r>
              <w:t>: a</w:t>
            </w:r>
            <w:r w:rsidRPr="00B85562">
              <w:t>nalysez les résultats obtenus avec</w:t>
            </w:r>
            <w:r>
              <w:t xml:space="preserve"> </w:t>
            </w:r>
            <w:r w:rsidRPr="00B85562">
              <w:rPr>
                <w:b/>
              </w:rPr>
              <w:t>IMGT/</w:t>
            </w:r>
            <w:proofErr w:type="spellStart"/>
            <w:r w:rsidRPr="00B85562">
              <w:rPr>
                <w:b/>
              </w:rPr>
              <w:t>JunctionAnalysis</w:t>
            </w:r>
            <w:proofErr w:type="spellEnd"/>
            <w:r w:rsidRPr="00B85562">
              <w:rPr>
                <w:b/>
              </w:rPr>
              <w:t xml:space="preserve"> </w:t>
            </w:r>
            <w:r w:rsidRPr="00B85562">
              <w:t>(</w:t>
            </w:r>
            <w:r w:rsidRPr="00DC7C2C">
              <w:rPr>
                <w:b/>
              </w:rPr>
              <w:t>point 4</w:t>
            </w:r>
            <w:r w:rsidRPr="00B85562">
              <w:t>)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lastRenderedPageBreak/>
              <w:t xml:space="preserve">donnez la séquence en acides aminés </w:t>
            </w:r>
            <w:r w:rsidR="00943EE3">
              <w:t xml:space="preserve">(AA) </w:t>
            </w:r>
            <w:r w:rsidRPr="00B85562">
              <w:t>de la jonction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donnez les  propriétés physicochimiques de ces acides aminés</w:t>
            </w:r>
          </w:p>
          <w:p w:rsidR="007B7BE2" w:rsidRPr="00B85562" w:rsidRDefault="007B7BE2" w:rsidP="00F6216F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 xml:space="preserve">notez les </w:t>
            </w:r>
            <w:r w:rsidR="00943EE3">
              <w:t>AA</w:t>
            </w:r>
            <w:r w:rsidRPr="00B85562">
              <w:t xml:space="preserve"> importants.</w:t>
            </w:r>
          </w:p>
          <w:p w:rsidR="007B7BE2" w:rsidRPr="00B85562" w:rsidRDefault="007B7BE2" w:rsidP="007B7BE2">
            <w:pPr>
              <w:numPr>
                <w:ilvl w:val="2"/>
                <w:numId w:val="3"/>
              </w:numPr>
              <w:tabs>
                <w:tab w:val="clear" w:pos="2340"/>
                <w:tab w:val="num" w:pos="1440"/>
              </w:tabs>
              <w:suppressAutoHyphens w:val="0"/>
              <w:spacing w:after="0" w:line="240" w:lineRule="auto"/>
              <w:ind w:left="1080" w:firstLine="0"/>
            </w:pPr>
            <w:r w:rsidRPr="00F82045">
              <w:rPr>
                <w:b/>
              </w:rPr>
              <w:t>Pour la séquence DQ100777</w:t>
            </w:r>
            <w:r w:rsidRPr="00B85562">
              <w:t xml:space="preserve">, récupérez la </w:t>
            </w:r>
            <w:r w:rsidRPr="008E2762">
              <w:rPr>
                <w:b/>
              </w:rPr>
              <w:t xml:space="preserve">séquence de la V-D-J-REGION en  acides </w:t>
            </w:r>
            <w:r w:rsidR="00943EE3">
              <w:rPr>
                <w:b/>
              </w:rPr>
              <w:t xml:space="preserve">aminés </w:t>
            </w:r>
            <w:r w:rsidRPr="008E2762">
              <w:rPr>
                <w:b/>
              </w:rPr>
              <w:t>au format FASTA</w:t>
            </w:r>
            <w:r w:rsidRPr="00B85562">
              <w:t xml:space="preserve"> (</w:t>
            </w:r>
            <w:r w:rsidRPr="00E519C7">
              <w:rPr>
                <w:b/>
              </w:rPr>
              <w:t>point 12</w:t>
            </w:r>
            <w:r w:rsidRPr="00B85562">
              <w:t>) et complétez vos résultats par une analyse avec IMGT/</w:t>
            </w:r>
            <w:proofErr w:type="spellStart"/>
            <w:r w:rsidRPr="00B85562">
              <w:t>DomainGapAlign</w:t>
            </w:r>
            <w:proofErr w:type="spellEnd"/>
            <w:r w:rsidRPr="00B85562">
              <w:t xml:space="preserve"> et IMGT/Collier-de-</w:t>
            </w:r>
            <w:r w:rsidR="00943EE3">
              <w:t>P</w:t>
            </w:r>
            <w:r w:rsidRPr="00B85562">
              <w:t>erles.</w:t>
            </w:r>
          </w:p>
          <w:p w:rsidR="007B7BE2" w:rsidRPr="00B85562" w:rsidRDefault="007B7BE2" w:rsidP="007B7BE2">
            <w:pPr>
              <w:ind w:left="420"/>
            </w:pPr>
          </w:p>
          <w:p w:rsidR="007B7BE2" w:rsidRPr="00B85562" w:rsidRDefault="007B7BE2" w:rsidP="00BB4BE1">
            <w:pPr>
              <w:suppressAutoHyphens w:val="0"/>
              <w:spacing w:after="0" w:line="240" w:lineRule="auto"/>
              <w:ind w:left="720"/>
            </w:pPr>
            <w:r w:rsidRPr="00B85562">
              <w:t>Analyse avec</w:t>
            </w:r>
            <w:r w:rsidRPr="00B85562">
              <w:rPr>
                <w:b/>
              </w:rPr>
              <w:t xml:space="preserve"> IMGT/</w:t>
            </w:r>
            <w:proofErr w:type="spellStart"/>
            <w:r w:rsidRPr="00B85562">
              <w:rPr>
                <w:b/>
              </w:rPr>
              <w:t>DomainGapAlign</w:t>
            </w:r>
            <w:proofErr w:type="spellEnd"/>
            <w:r w:rsidRPr="00B85562">
              <w:t xml:space="preserve">  (sélection : 10 alignements)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identifiez les allèles des V et J-GENE les plus proches de votre séquence requête.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quel est le pourcentage d’identité (séquences protéiques) ?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voir les alignements par pair</w:t>
            </w:r>
            <w:r w:rsidR="00943EE3">
              <w:t>e</w:t>
            </w:r>
          </w:p>
          <w:p w:rsidR="007B7BE2" w:rsidRPr="00B85562" w:rsidRDefault="007B7BE2" w:rsidP="00F6216F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 xml:space="preserve">donnez le nom et la position des 5 </w:t>
            </w:r>
            <w:proofErr w:type="spellStart"/>
            <w:r w:rsidR="00943EE3">
              <w:t>AA</w:t>
            </w:r>
            <w:r w:rsidRPr="00B85562">
              <w:t>conservés</w:t>
            </w:r>
            <w:proofErr w:type="spellEnd"/>
          </w:p>
          <w:p w:rsidR="007B7BE2" w:rsidRPr="00B85562" w:rsidRDefault="007B7BE2" w:rsidP="00BB4BE1">
            <w:pPr>
              <w:suppressAutoHyphens w:val="0"/>
              <w:spacing w:after="0" w:line="240" w:lineRule="auto"/>
              <w:ind w:left="720"/>
            </w:pPr>
            <w:r w:rsidRPr="00B85562">
              <w:t xml:space="preserve">Analysez les </w:t>
            </w:r>
            <w:r w:rsidRPr="00B85562">
              <w:rPr>
                <w:b/>
              </w:rPr>
              <w:t>IMGT/Colliers-de-Perles</w:t>
            </w:r>
            <w:r w:rsidRPr="00B85562">
              <w:t> </w:t>
            </w:r>
          </w:p>
          <w:p w:rsidR="007B7BE2" w:rsidRPr="00B8556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>donnez la description du domaine</w:t>
            </w:r>
            <w:r w:rsidR="00943EE3">
              <w:t xml:space="preserve"> V</w:t>
            </w:r>
            <w:r w:rsidRPr="00B85562">
              <w:t xml:space="preserve">, </w:t>
            </w:r>
          </w:p>
          <w:p w:rsidR="007B7BE2" w:rsidRDefault="007B7BE2" w:rsidP="007B7BE2">
            <w:pPr>
              <w:numPr>
                <w:ilvl w:val="1"/>
                <w:numId w:val="4"/>
              </w:numPr>
              <w:suppressAutoHyphens w:val="0"/>
              <w:spacing w:after="0" w:line="240" w:lineRule="auto"/>
            </w:pPr>
            <w:r w:rsidRPr="00B85562">
              <w:t xml:space="preserve">identifiez les régions charpentes (FR-IMGT), les régions hypervariables (CDR-IMGT), les ancres IMGT®  et les </w:t>
            </w:r>
            <w:proofErr w:type="spellStart"/>
            <w:r w:rsidR="00943EE3">
              <w:t>AA</w:t>
            </w:r>
            <w:r w:rsidRPr="00B85562">
              <w:t>importants</w:t>
            </w:r>
            <w:proofErr w:type="spellEnd"/>
            <w:r w:rsidRPr="00B85562">
              <w:t xml:space="preserve"> </w:t>
            </w:r>
          </w:p>
          <w:p w:rsidR="007B7BE2" w:rsidRDefault="007B7BE2" w:rsidP="00BB4BE1">
            <w:pPr>
              <w:suppressAutoHyphens w:val="0"/>
              <w:spacing w:after="0" w:line="240" w:lineRule="auto"/>
              <w:ind w:left="1950"/>
            </w:pPr>
          </w:p>
          <w:p w:rsidR="00554009" w:rsidRDefault="00554009" w:rsidP="00554009">
            <w:pPr>
              <w:suppressAutoHyphens w:val="0"/>
              <w:spacing w:after="0" w:line="240" w:lineRule="auto"/>
            </w:pPr>
          </w:p>
          <w:p w:rsidR="00554009" w:rsidRDefault="00554009" w:rsidP="00233EC1">
            <w:pPr>
              <w:suppressAutoHyphens w:val="0"/>
              <w:spacing w:after="0" w:line="240" w:lineRule="auto"/>
              <w:ind w:left="360"/>
            </w:pPr>
            <w:r w:rsidRPr="002603A2">
              <w:rPr>
                <w:b/>
              </w:rPr>
              <w:t>Caractérisation d’un VH et d’un V-KAPPA</w:t>
            </w:r>
          </w:p>
          <w:p w:rsidR="00554009" w:rsidRDefault="00554009" w:rsidP="00554009">
            <w:pPr>
              <w:ind w:left="360"/>
              <w:rPr>
                <w:color w:val="000000"/>
              </w:rPr>
            </w:pPr>
            <w:r>
              <w:t>Utilisation d’IMGT/3Dstructure-DB en relation avec IMGT/Collier</w:t>
            </w:r>
            <w:r w:rsidR="00943EE3">
              <w:t>-</w:t>
            </w:r>
            <w:r>
              <w:t>de</w:t>
            </w:r>
            <w:r w:rsidR="00943EE3">
              <w:t>-</w:t>
            </w:r>
            <w:r>
              <w:t>Perles (</w:t>
            </w:r>
            <w:r>
              <w:rPr>
                <w:color w:val="000000"/>
              </w:rPr>
              <w:t xml:space="preserve">pdb : 1a2y, exemple d’un VH ; </w:t>
            </w:r>
            <w:r>
              <w:t xml:space="preserve">pdb: </w:t>
            </w:r>
            <w:r w:rsidRPr="007944DA">
              <w:rPr>
                <w:color w:val="000000"/>
              </w:rPr>
              <w:t>1eeq, exemple d’un V-</w:t>
            </w:r>
            <w:r>
              <w:rPr>
                <w:color w:val="000000"/>
              </w:rPr>
              <w:t>KAPPA</w:t>
            </w:r>
            <w:r w:rsidRPr="007944DA">
              <w:rPr>
                <w:color w:val="000000"/>
              </w:rPr>
              <w:t xml:space="preserve"> isolé)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>Trouvez une structure de la protéine Len dans « </w:t>
            </w:r>
            <w:proofErr w:type="spellStart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Molecule</w:t>
            </w:r>
            <w:proofErr w:type="spellEnd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 xml:space="preserve"> </w:t>
            </w:r>
            <w:proofErr w:type="spellStart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name</w:t>
            </w:r>
            <w:proofErr w:type="spellEnd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 xml:space="preserve"> (</w:t>
            </w:r>
            <w:proofErr w:type="spellStart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receptor</w:t>
            </w:r>
            <w:proofErr w:type="spellEnd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 xml:space="preserve"> or ligand</w:t>
            </w:r>
            <w:r w:rsidRPr="00FB2761">
              <w:rPr>
                <w:rFonts w:asciiTheme="minorHAnsi" w:hAnsiTheme="minorHAnsi"/>
                <w:sz w:val="22"/>
                <w:szCs w:val="22"/>
              </w:rPr>
              <w:t>) ». Seules des structures de domaines variables des V-KAPPA isolés de cette protéine ont été déterminées. Sélectionnez le code PDB : 1eeq.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 xml:space="preserve">Cliquez sur </w:t>
            </w:r>
            <w:r w:rsidRPr="00FB2761">
              <w:rPr>
                <w:rFonts w:asciiTheme="minorHAnsi" w:hAnsiTheme="minorHAnsi"/>
                <w:kern w:val="24"/>
                <w:sz w:val="22"/>
                <w:szCs w:val="22"/>
              </w:rPr>
              <w:t>« </w:t>
            </w:r>
            <w:r w:rsidRPr="00FB2761">
              <w:rPr>
                <w:rStyle w:val="Emphasis"/>
                <w:rFonts w:asciiTheme="minorHAnsi" w:hAnsiTheme="minorHAnsi"/>
                <w:kern w:val="24"/>
                <w:sz w:val="22"/>
                <w:szCs w:val="22"/>
              </w:rPr>
              <w:t xml:space="preserve">IMGT Collier de Perles on 2 </w:t>
            </w:r>
            <w:proofErr w:type="spellStart"/>
            <w:r w:rsidRPr="00FB2761">
              <w:rPr>
                <w:rStyle w:val="Emphasis"/>
                <w:rFonts w:asciiTheme="minorHAnsi" w:hAnsiTheme="minorHAnsi"/>
                <w:kern w:val="24"/>
                <w:sz w:val="22"/>
                <w:szCs w:val="22"/>
              </w:rPr>
              <w:t>layers</w:t>
            </w:r>
            <w:proofErr w:type="spellEnd"/>
            <w:r w:rsidRPr="00FB2761">
              <w:rPr>
                <w:rStyle w:val="Emphasis"/>
                <w:rFonts w:asciiTheme="minorHAnsi" w:hAnsiTheme="minorHAnsi"/>
                <w:kern w:val="24"/>
                <w:sz w:val="22"/>
                <w:szCs w:val="22"/>
              </w:rPr>
              <w:t> »</w:t>
            </w:r>
            <w:r w:rsidRPr="00FB2761">
              <w:rPr>
                <w:rFonts w:asciiTheme="minorHAnsi" w:hAnsiTheme="minorHAnsi"/>
                <w:kern w:val="24"/>
                <w:sz w:val="22"/>
                <w:szCs w:val="22"/>
              </w:rPr>
              <w:t>.</w:t>
            </w:r>
            <w:r w:rsidRPr="00FB2761">
              <w:rPr>
                <w:rFonts w:asciiTheme="minorHAnsi" w:hAnsiTheme="minorHAnsi"/>
                <w:sz w:val="22"/>
                <w:szCs w:val="22"/>
              </w:rPr>
              <w:t xml:space="preserve"> Repérez la position des CDR-IMGT. 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 xml:space="preserve">Notez les positions très conservées (en rouge). 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>Délimitez la région V et la région J dans l’onglet « </w:t>
            </w:r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 xml:space="preserve">Chain </w:t>
            </w:r>
            <w:proofErr w:type="spellStart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details</w:t>
            </w:r>
            <w:proofErr w:type="spellEnd"/>
            <w:r w:rsidRPr="00FB2761">
              <w:rPr>
                <w:rFonts w:asciiTheme="minorHAnsi" w:hAnsiTheme="minorHAnsi"/>
                <w:sz w:val="22"/>
                <w:szCs w:val="22"/>
              </w:rPr>
              <w:t xml:space="preserve"> » et observez leur localisation sur </w:t>
            </w:r>
            <w:proofErr w:type="gramStart"/>
            <w:r w:rsidRPr="00FB2761"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r w:rsidR="00943EE3">
              <w:rPr>
                <w:rFonts w:asciiTheme="minorHAnsi" w:hAnsiTheme="minorHAnsi"/>
                <w:sz w:val="22"/>
                <w:szCs w:val="22"/>
              </w:rPr>
              <w:t>IMGT</w:t>
            </w:r>
            <w:proofErr w:type="gramEnd"/>
            <w:r w:rsidR="00943E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2761">
              <w:rPr>
                <w:rFonts w:asciiTheme="minorHAnsi" w:hAnsiTheme="minorHAnsi"/>
                <w:sz w:val="22"/>
                <w:szCs w:val="22"/>
              </w:rPr>
              <w:t xml:space="preserve">Collier de Perles ? 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 xml:space="preserve">Trouvez la composition en brins de chaque feuillet </w:t>
            </w:r>
            <w:proofErr w:type="gramStart"/>
            <w:r w:rsidRPr="00FB2761">
              <w:rPr>
                <w:rFonts w:asciiTheme="minorHAnsi" w:hAnsiTheme="minorHAnsi"/>
                <w:sz w:val="22"/>
                <w:szCs w:val="22"/>
              </w:rPr>
              <w:t xml:space="preserve">à partir du  </w:t>
            </w:r>
            <w:r w:rsidR="00943EE3">
              <w:rPr>
                <w:rFonts w:asciiTheme="minorHAnsi" w:hAnsiTheme="minorHAnsi"/>
                <w:sz w:val="22"/>
                <w:szCs w:val="22"/>
              </w:rPr>
              <w:t>IMGT</w:t>
            </w:r>
            <w:proofErr w:type="gramEnd"/>
            <w:r w:rsidR="00943E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2761">
              <w:rPr>
                <w:rFonts w:asciiTheme="minorHAnsi" w:hAnsiTheme="minorHAnsi"/>
                <w:sz w:val="22"/>
                <w:szCs w:val="22"/>
              </w:rPr>
              <w:t>Collier de Perles et vérifiez-la dans l'onglet « </w:t>
            </w:r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 xml:space="preserve">Chain </w:t>
            </w:r>
            <w:proofErr w:type="spellStart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details</w:t>
            </w:r>
            <w:proofErr w:type="spellEnd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 »</w:t>
            </w:r>
            <w:r w:rsidRPr="00FB276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54009" w:rsidRPr="00FB2761" w:rsidRDefault="0074407E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Visualisez la structure avec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Jm</w:t>
            </w:r>
            <w:bookmarkStart w:id="0" w:name="_GoBack"/>
            <w:bookmarkEnd w:id="0"/>
            <w:r w:rsidR="00554009" w:rsidRPr="00FB2761">
              <w:rPr>
                <w:rFonts w:asciiTheme="minorHAnsi" w:hAnsiTheme="minorHAnsi"/>
                <w:sz w:val="22"/>
                <w:szCs w:val="22"/>
              </w:rPr>
              <w:t>ol</w:t>
            </w:r>
            <w:proofErr w:type="spellEnd"/>
            <w:r w:rsidR="00554009" w:rsidRPr="00FB276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>Colorez les 5 positions conservées en « </w:t>
            </w:r>
            <w:proofErr w:type="spellStart"/>
            <w:r w:rsidRPr="00FB2761">
              <w:rPr>
                <w:rFonts w:asciiTheme="minorHAnsi" w:hAnsiTheme="minorHAnsi"/>
                <w:i/>
                <w:kern w:val="24"/>
                <w:sz w:val="22"/>
                <w:szCs w:val="22"/>
              </w:rPr>
              <w:t>wireframe</w:t>
            </w:r>
            <w:proofErr w:type="spellEnd"/>
            <w:r w:rsidRPr="00FB2761">
              <w:rPr>
                <w:rFonts w:asciiTheme="minorHAnsi" w:hAnsiTheme="minorHAnsi"/>
                <w:sz w:val="22"/>
                <w:szCs w:val="22"/>
              </w:rPr>
              <w:t xml:space="preserve"> » rouge (grâce aux séquences présentes au-dessus de  l'applet </w:t>
            </w:r>
            <w:proofErr w:type="spellStart"/>
            <w:r w:rsidRPr="00FB2761">
              <w:rPr>
                <w:rFonts w:asciiTheme="minorHAnsi" w:hAnsiTheme="minorHAnsi"/>
                <w:sz w:val="22"/>
                <w:szCs w:val="22"/>
              </w:rPr>
              <w:t>Jmol</w:t>
            </w:r>
            <w:proofErr w:type="spellEnd"/>
            <w:r w:rsidRPr="00FB2761">
              <w:rPr>
                <w:rFonts w:asciiTheme="minorHAnsi" w:hAnsiTheme="minorHAnsi"/>
                <w:sz w:val="22"/>
                <w:szCs w:val="22"/>
              </w:rPr>
              <w:t xml:space="preserve">). Que remarquez-vous sur leur localisation ? </w:t>
            </w:r>
          </w:p>
          <w:p w:rsidR="00554009" w:rsidRPr="00FB2761" w:rsidRDefault="00554009" w:rsidP="00554009">
            <w:pPr>
              <w:pStyle w:val="BodyText"/>
              <w:numPr>
                <w:ilvl w:val="0"/>
                <w:numId w:val="6"/>
              </w:numPr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FB2761">
              <w:rPr>
                <w:rFonts w:asciiTheme="minorHAnsi" w:hAnsiTheme="minorHAnsi"/>
                <w:sz w:val="22"/>
                <w:szCs w:val="22"/>
              </w:rPr>
              <w:t>Reset. Sélectionnez « </w:t>
            </w:r>
            <w:proofErr w:type="spellStart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>complex</w:t>
            </w:r>
            <w:proofErr w:type="spellEnd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>colored</w:t>
            </w:r>
            <w:proofErr w:type="spellEnd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 xml:space="preserve"> by </w:t>
            </w:r>
            <w:proofErr w:type="spellStart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>chains</w:t>
            </w:r>
            <w:proofErr w:type="spellEnd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 xml:space="preserve"> and </w:t>
            </w:r>
            <w:proofErr w:type="spellStart"/>
            <w:r w:rsidRPr="00FB2761">
              <w:rPr>
                <w:rFonts w:asciiTheme="minorHAnsi" w:hAnsiTheme="minorHAnsi"/>
                <w:i/>
                <w:sz w:val="22"/>
                <w:szCs w:val="22"/>
              </w:rPr>
              <w:t>CDRs</w:t>
            </w:r>
            <w:proofErr w:type="spellEnd"/>
            <w:r w:rsidRPr="00FB2761">
              <w:rPr>
                <w:rFonts w:asciiTheme="minorHAnsi" w:hAnsiTheme="minorHAnsi"/>
                <w:sz w:val="22"/>
                <w:szCs w:val="22"/>
              </w:rPr>
              <w:t xml:space="preserve"> » et affichez les ponts disulfures. </w:t>
            </w:r>
          </w:p>
          <w:p w:rsidR="00554009" w:rsidRPr="00943F8D" w:rsidRDefault="00554009" w:rsidP="00943EE3">
            <w:pPr>
              <w:ind w:left="360"/>
              <w:rPr>
                <w:color w:val="0000FF"/>
              </w:rPr>
            </w:pPr>
            <w:r w:rsidRPr="00943F8D">
              <w:rPr>
                <w:color w:val="0000FF"/>
              </w:rPr>
              <w:sym w:font="Wingdings" w:char="F0E0"/>
            </w:r>
            <w:r w:rsidRPr="00943F8D">
              <w:rPr>
                <w:color w:val="0000FF"/>
              </w:rPr>
              <w:t xml:space="preserve"> Observez le sandwich bêta avec ses 2 feuillets, retenus entre eux par le pont disulfure. CDR2 et CDR3 appartiennent au même feuillet, tandis que CDR1 est entre les 2</w:t>
            </w:r>
          </w:p>
          <w:p w:rsidR="00554009" w:rsidRPr="00233EC1" w:rsidRDefault="00554009" w:rsidP="00233EC1">
            <w:pPr>
              <w:ind w:left="360"/>
              <w:rPr>
                <w:color w:val="0000FF"/>
              </w:rPr>
            </w:pPr>
            <w:r w:rsidRPr="00943F8D">
              <w:rPr>
                <w:color w:val="0000FF"/>
              </w:rPr>
              <w:sym w:font="Wingdings" w:char="F0E0"/>
            </w:r>
            <w:r w:rsidRPr="00943F8D">
              <w:rPr>
                <w:color w:val="0000FF"/>
              </w:rPr>
              <w:t xml:space="preserve"> Observez les 5 positions IMGT conservé</w:t>
            </w:r>
            <w:r w:rsidR="00943EE3">
              <w:rPr>
                <w:color w:val="0000FF"/>
              </w:rPr>
              <w:t>e</w:t>
            </w:r>
            <w:r w:rsidRPr="00943F8D">
              <w:rPr>
                <w:color w:val="0000FF"/>
              </w:rPr>
              <w:t>s qui forment le cœur du repliement.</w:t>
            </w:r>
          </w:p>
          <w:p w:rsidR="00554009" w:rsidRDefault="00554009" w:rsidP="00554009">
            <w:pPr>
              <w:numPr>
                <w:ilvl w:val="0"/>
                <w:numId w:val="7"/>
              </w:numPr>
              <w:suppressAutoHyphens w:val="0"/>
              <w:spacing w:after="0" w:line="240" w:lineRule="auto"/>
            </w:pPr>
            <w:r>
              <w:t>Différents formats d’anticorps (</w:t>
            </w:r>
            <w:proofErr w:type="spellStart"/>
            <w:r>
              <w:t>scFv</w:t>
            </w:r>
            <w:proofErr w:type="spellEnd"/>
            <w:r>
              <w:t xml:space="preserve">, </w:t>
            </w:r>
            <w:proofErr w:type="spellStart"/>
            <w:r>
              <w:t>Fab</w:t>
            </w:r>
            <w:proofErr w:type="spellEnd"/>
            <w:r>
              <w:t>, VH de dromadaire)</w:t>
            </w:r>
          </w:p>
          <w:p w:rsidR="00554009" w:rsidRDefault="00554009" w:rsidP="00554009">
            <w:pPr>
              <w:numPr>
                <w:ilvl w:val="1"/>
                <w:numId w:val="7"/>
              </w:numPr>
              <w:suppressAutoHyphens w:val="0"/>
              <w:spacing w:after="0" w:line="240" w:lineRule="auto"/>
            </w:pPr>
            <w:r>
              <w:t xml:space="preserve">Rappels sur la </w:t>
            </w:r>
            <w:r w:rsidRPr="0056618E">
              <w:t xml:space="preserve">synthèse des </w:t>
            </w:r>
            <w:proofErr w:type="spellStart"/>
            <w:r w:rsidRPr="0056618E">
              <w:t>IgG</w:t>
            </w:r>
            <w:proofErr w:type="spellEnd"/>
            <w:r w:rsidRPr="0056618E">
              <w:t xml:space="preserve"> de </w:t>
            </w:r>
            <w:r>
              <w:t xml:space="preserve">dromadaire et de lama </w:t>
            </w:r>
          </w:p>
          <w:p w:rsidR="00554009" w:rsidRPr="007944DA" w:rsidRDefault="00554009" w:rsidP="00554009">
            <w:pPr>
              <w:numPr>
                <w:ilvl w:val="1"/>
                <w:numId w:val="7"/>
              </w:numPr>
              <w:suppressAutoHyphens w:val="0"/>
              <w:spacing w:after="0" w:line="240" w:lineRule="auto"/>
            </w:pPr>
            <w:r>
              <w:t xml:space="preserve">Analyse de la structure 3D d’un VH de dromadaire : IMGT/3Dstructure-DB, </w:t>
            </w:r>
            <w:r w:rsidRPr="00EB04B5">
              <w:t>IMGT/</w:t>
            </w:r>
            <w:proofErr w:type="spellStart"/>
            <w:r w:rsidRPr="00EB04B5">
              <w:t>DomainSuperimpose</w:t>
            </w:r>
            <w:proofErr w:type="spellEnd"/>
            <w:r>
              <w:t> (pdb : 1jto)</w:t>
            </w:r>
          </w:p>
          <w:p w:rsidR="00554009" w:rsidRDefault="00554009" w:rsidP="00554009">
            <w:pPr>
              <w:ind w:left="708" w:firstLine="708"/>
            </w:pPr>
            <w:r w:rsidRPr="002434FE">
              <w:sym w:font="Wingdings" w:char="F0E0"/>
            </w:r>
            <w:r w:rsidRPr="002434FE">
              <w:t xml:space="preserve"> Particularité de la boucle CDR3-IMGT (structure, longueur)</w:t>
            </w:r>
            <w:r>
              <w:t>,</w:t>
            </w:r>
            <w:r w:rsidRPr="002434FE">
              <w:t xml:space="preserve"> pont disulfure entre CDR2 et CDR3), 4AA en position 42 (F, Y), 49 (E, Q), 50 (C, R) et 52 (F, G, L, W), rendant CC’ plus hydrophile. </w:t>
            </w:r>
          </w:p>
          <w:p w:rsidR="00554009" w:rsidRDefault="00554009" w:rsidP="00554009">
            <w:pPr>
              <w:numPr>
                <w:ilvl w:val="0"/>
                <w:numId w:val="10"/>
              </w:numPr>
              <w:suppressAutoHyphens w:val="0"/>
              <w:spacing w:after="0" w:line="240" w:lineRule="auto"/>
            </w:pPr>
            <w:r>
              <w:t xml:space="preserve">Comparaison structurale du VH de dromadaire avec le VH humain : </w:t>
            </w:r>
            <w:r w:rsidRPr="00EB04B5">
              <w:t>IMGT/</w:t>
            </w:r>
            <w:proofErr w:type="spellStart"/>
            <w:r w:rsidRPr="00EB04B5">
              <w:t>DomainSuperimpose</w:t>
            </w:r>
            <w:proofErr w:type="spellEnd"/>
            <w:r>
              <w:t> (pdb : 1jto_A et 1hzh_H)</w:t>
            </w:r>
          </w:p>
          <w:p w:rsidR="00554009" w:rsidRDefault="00554009" w:rsidP="00FB2761">
            <w:pPr>
              <w:numPr>
                <w:ilvl w:val="0"/>
                <w:numId w:val="9"/>
              </w:numPr>
              <w:suppressAutoHyphens w:val="0"/>
              <w:spacing w:after="0" w:line="240" w:lineRule="auto"/>
            </w:pPr>
            <w:proofErr w:type="spellStart"/>
            <w:r>
              <w:t>Nanobodies</w:t>
            </w:r>
            <w:proofErr w:type="spellEnd"/>
            <w:r w:rsidRPr="003F51C2">
              <w:t>®</w:t>
            </w:r>
            <w:r w:rsidR="00FB2761">
              <w:t xml:space="preserve"> (</w:t>
            </w:r>
            <w:proofErr w:type="spellStart"/>
            <w:r w:rsidR="00FB2761">
              <w:t>Ablynx</w:t>
            </w:r>
            <w:proofErr w:type="spellEnd"/>
            <w:r w:rsidR="00FB2761">
              <w:t>)</w:t>
            </w:r>
            <w:r>
              <w:t xml:space="preserve"> </w:t>
            </w:r>
          </w:p>
          <w:p w:rsidR="00554009" w:rsidRPr="00A55351" w:rsidRDefault="00554009" w:rsidP="00554009">
            <w:pPr>
              <w:rPr>
                <w:i/>
                <w:color w:val="0000FF"/>
              </w:rPr>
            </w:pPr>
            <w:r w:rsidRPr="00A55351">
              <w:rPr>
                <w:i/>
                <w:color w:val="0000FF"/>
                <w:u w:val="single"/>
              </w:rPr>
              <w:lastRenderedPageBreak/>
              <w:t>Note</w:t>
            </w:r>
            <w:r w:rsidRPr="00A55351">
              <w:rPr>
                <w:i/>
                <w:color w:val="0000FF"/>
              </w:rPr>
              <w:t> : VH = single-</w:t>
            </w:r>
            <w:proofErr w:type="spellStart"/>
            <w:r w:rsidRPr="00A55351">
              <w:rPr>
                <w:i/>
                <w:color w:val="0000FF"/>
              </w:rPr>
              <w:t>domain</w:t>
            </w:r>
            <w:proofErr w:type="spellEnd"/>
            <w:r w:rsidRPr="00A55351">
              <w:rPr>
                <w:i/>
                <w:color w:val="0000FF"/>
              </w:rPr>
              <w:t xml:space="preserve"> </w:t>
            </w:r>
            <w:proofErr w:type="spellStart"/>
            <w:r w:rsidRPr="00A55351">
              <w:rPr>
                <w:i/>
                <w:color w:val="0000FF"/>
              </w:rPr>
              <w:t>antibody</w:t>
            </w:r>
            <w:proofErr w:type="spellEnd"/>
            <w:r w:rsidRPr="00A55351">
              <w:rPr>
                <w:i/>
                <w:color w:val="0000FF"/>
              </w:rPr>
              <w:t xml:space="preserve"> </w:t>
            </w:r>
          </w:p>
          <w:p w:rsidR="00554009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r w:rsidRPr="00943F8D">
              <w:rPr>
                <w:i/>
                <w:color w:val="0000FF"/>
              </w:rPr>
              <w:t>Peu</w:t>
            </w:r>
            <w:r w:rsidR="00943EE3">
              <w:rPr>
                <w:i/>
                <w:color w:val="0000FF"/>
              </w:rPr>
              <w:t>vent</w:t>
            </w:r>
            <w:r w:rsidRPr="00943F8D">
              <w:rPr>
                <w:i/>
                <w:color w:val="0000FF"/>
              </w:rPr>
              <w:t xml:space="preserve"> traverser la barrière hémato-encéphalique (intéressant pour neutraliser les agen</w:t>
            </w:r>
            <w:r>
              <w:rPr>
                <w:i/>
                <w:color w:val="0000FF"/>
              </w:rPr>
              <w:t>ts pathogène</w:t>
            </w:r>
            <w:r w:rsidR="00943EE3">
              <w:rPr>
                <w:i/>
                <w:color w:val="0000FF"/>
              </w:rPr>
              <w:t>s</w:t>
            </w:r>
            <w:r>
              <w:rPr>
                <w:i/>
                <w:color w:val="0000FF"/>
              </w:rPr>
              <w:t xml:space="preserve"> comme la rage où le</w:t>
            </w:r>
            <w:r w:rsidRPr="00943F8D">
              <w:rPr>
                <w:i/>
                <w:color w:val="0000FF"/>
              </w:rPr>
              <w:t xml:space="preserve"> virus se réplique dans le cerveau ou encore pour traiter les symptômes de la maladie de Alzheimer. Ab conventionnels ne vont pas dans le CNS.</w:t>
            </w:r>
          </w:p>
          <w:p w:rsidR="00554009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Traverse</w:t>
            </w:r>
            <w:r w:rsidR="00943EE3">
              <w:rPr>
                <w:i/>
                <w:color w:val="0000FF"/>
              </w:rPr>
              <w:t>nt</w:t>
            </w:r>
            <w:r>
              <w:rPr>
                <w:i/>
                <w:color w:val="0000FF"/>
              </w:rPr>
              <w:t xml:space="preserve"> la barrière rénale (&lt;60kDa) donc est rapidement éliminé du sang (</w:t>
            </w:r>
            <w:proofErr w:type="spellStart"/>
            <w:r>
              <w:rPr>
                <w:i/>
                <w:color w:val="0000FF"/>
              </w:rPr>
              <w:t>serum</w:t>
            </w:r>
            <w:proofErr w:type="spellEnd"/>
            <w:r>
              <w:rPr>
                <w:i/>
                <w:color w:val="0000FF"/>
              </w:rPr>
              <w:t xml:space="preserve"> </w:t>
            </w:r>
            <w:proofErr w:type="spellStart"/>
            <w:r>
              <w:rPr>
                <w:i/>
                <w:color w:val="0000FF"/>
              </w:rPr>
              <w:t>half</w:t>
            </w:r>
            <w:proofErr w:type="spellEnd"/>
            <w:r>
              <w:rPr>
                <w:i/>
                <w:color w:val="0000FF"/>
              </w:rPr>
              <w:t xml:space="preserve"> life d’environ 2h, ce qui peut poser un </w:t>
            </w:r>
            <w:proofErr w:type="spellStart"/>
            <w:r>
              <w:rPr>
                <w:i/>
                <w:color w:val="0000FF"/>
              </w:rPr>
              <w:t>pb</w:t>
            </w:r>
            <w:proofErr w:type="spellEnd"/>
            <w:r>
              <w:rPr>
                <w:i/>
                <w:color w:val="0000FF"/>
              </w:rPr>
              <w:t xml:space="preserve"> pour le traitement de l’inflammation par ex)</w:t>
            </w:r>
          </w:p>
          <w:p w:rsidR="00554009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 xml:space="preserve">Demi-vie modulable (ex possibilité de </w:t>
            </w:r>
            <w:proofErr w:type="spellStart"/>
            <w:r>
              <w:rPr>
                <w:i/>
                <w:color w:val="0000FF"/>
              </w:rPr>
              <w:t>p</w:t>
            </w:r>
            <w:r w:rsidR="00943EE3">
              <w:rPr>
                <w:i/>
                <w:color w:val="0000FF"/>
              </w:rPr>
              <w:t>é</w:t>
            </w:r>
            <w:r>
              <w:rPr>
                <w:i/>
                <w:color w:val="0000FF"/>
              </w:rPr>
              <w:t>gylation</w:t>
            </w:r>
            <w:proofErr w:type="spellEnd"/>
            <w:r>
              <w:rPr>
                <w:i/>
                <w:color w:val="0000FF"/>
              </w:rPr>
              <w:t>)</w:t>
            </w:r>
          </w:p>
          <w:p w:rsidR="00554009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Très stable</w:t>
            </w:r>
            <w:r w:rsidR="00943EE3">
              <w:rPr>
                <w:i/>
                <w:color w:val="0000FF"/>
              </w:rPr>
              <w:t>s</w:t>
            </w:r>
            <w:r>
              <w:rPr>
                <w:i/>
                <w:color w:val="0000FF"/>
              </w:rPr>
              <w:t>, donc très adapt</w:t>
            </w:r>
            <w:r w:rsidR="00943EE3">
              <w:rPr>
                <w:i/>
                <w:color w:val="0000FF"/>
              </w:rPr>
              <w:t>és</w:t>
            </w:r>
            <w:r>
              <w:rPr>
                <w:i/>
                <w:color w:val="0000FF"/>
              </w:rPr>
              <w:t xml:space="preserve"> pour l’administration par voie orale.</w:t>
            </w:r>
          </w:p>
          <w:p w:rsidR="00554009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Production très bon marché.</w:t>
            </w:r>
          </w:p>
          <w:p w:rsidR="00554009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proofErr w:type="gramStart"/>
            <w:r>
              <w:rPr>
                <w:i/>
                <w:color w:val="0000FF"/>
              </w:rPr>
              <w:t>Semblent</w:t>
            </w:r>
            <w:proofErr w:type="gramEnd"/>
            <w:r>
              <w:rPr>
                <w:i/>
                <w:color w:val="0000FF"/>
              </w:rPr>
              <w:t xml:space="preserve"> pas très bon pour la reconnaissance de petits antigènes</w:t>
            </w:r>
          </w:p>
          <w:p w:rsidR="00A33090" w:rsidRDefault="00554009" w:rsidP="00554009">
            <w:pPr>
              <w:numPr>
                <w:ilvl w:val="1"/>
                <w:numId w:val="8"/>
              </w:numPr>
              <w:suppressAutoHyphens w:val="0"/>
              <w:spacing w:after="0" w:line="240" w:lineRule="auto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 xml:space="preserve">Ne permettent pas de recruter les effecteurs pour </w:t>
            </w:r>
            <w:r w:rsidR="00943EE3">
              <w:rPr>
                <w:i/>
                <w:color w:val="0000FF"/>
              </w:rPr>
              <w:t>propriétés</w:t>
            </w:r>
            <w:r>
              <w:rPr>
                <w:i/>
                <w:color w:val="0000FF"/>
              </w:rPr>
              <w:t xml:space="preserve"> effectrice</w:t>
            </w:r>
            <w:r w:rsidR="00943EE3">
              <w:rPr>
                <w:i/>
                <w:color w:val="0000FF"/>
              </w:rPr>
              <w:t>s</w:t>
            </w:r>
            <w:r>
              <w:rPr>
                <w:i/>
                <w:color w:val="0000FF"/>
              </w:rPr>
              <w:t xml:space="preserve"> comme ADCC ou CDC, ce qui limite leur application.</w:t>
            </w:r>
          </w:p>
          <w:p w:rsidR="00554009" w:rsidRDefault="00554009" w:rsidP="00554009">
            <w:pPr>
              <w:suppressAutoHyphens w:val="0"/>
              <w:spacing w:after="0" w:line="240" w:lineRule="auto"/>
              <w:rPr>
                <w:i/>
                <w:color w:val="0000FF"/>
              </w:rPr>
            </w:pPr>
          </w:p>
          <w:p w:rsidR="003D67A5" w:rsidRPr="00554009" w:rsidRDefault="003D67A5">
            <w:pPr>
              <w:spacing w:after="0"/>
              <w:rPr>
                <w:rFonts w:ascii="Helvetica" w:hAnsi="Helvetica"/>
                <w:b/>
                <w:sz w:val="20"/>
                <w:szCs w:val="20"/>
              </w:rPr>
            </w:pPr>
          </w:p>
          <w:p w:rsidR="003D67A5" w:rsidRPr="001656A5" w:rsidRDefault="003D67A5" w:rsidP="00EE15F1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845E43">
              <w:rPr>
                <w:rFonts w:ascii="Helvetica" w:hAnsi="Helvetica"/>
                <w:b/>
                <w:sz w:val="20"/>
                <w:szCs w:val="20"/>
                <w:lang w:val="en-US"/>
              </w:rPr>
              <w:t>Session 2</w:t>
            </w:r>
            <w:r w:rsidR="00DF7547" w:rsidRPr="00845E43">
              <w:rPr>
                <w:rFonts w:ascii="Helvetica" w:hAnsi="Helvetica"/>
                <w:b/>
                <w:sz w:val="20"/>
                <w:szCs w:val="20"/>
                <w:lang w:val="en-US"/>
              </w:rPr>
              <w:t>.</w:t>
            </w:r>
            <w:r w:rsidRPr="00845E43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 w:rsidR="001656A5" w:rsidRPr="00CA21F7">
              <w:rPr>
                <w:rFonts w:ascii="Helvetica" w:hAnsi="Helvetica"/>
                <w:b/>
                <w:sz w:val="20"/>
                <w:szCs w:val="20"/>
                <w:lang w:val="en-US"/>
              </w:rPr>
              <w:t xml:space="preserve">IMGT </w:t>
            </w:r>
            <w:proofErr w:type="spellStart"/>
            <w:r w:rsidR="001656A5" w:rsidRPr="00CA21F7">
              <w:rPr>
                <w:rFonts w:ascii="Helvetica" w:hAnsi="Helvetica"/>
                <w:b/>
                <w:sz w:val="20"/>
                <w:szCs w:val="20"/>
                <w:lang w:val="en-US"/>
              </w:rPr>
              <w:t>immunoinformatics</w:t>
            </w:r>
            <w:proofErr w:type="spellEnd"/>
            <w:r w:rsidR="001656A5" w:rsidRPr="00CA21F7">
              <w:rPr>
                <w:rFonts w:ascii="Helvetica" w:hAnsi="Helvetica"/>
                <w:b/>
                <w:sz w:val="20"/>
                <w:szCs w:val="20"/>
                <w:lang w:val="en-US"/>
              </w:rPr>
              <w:t xml:space="preserve"> for </w:t>
            </w:r>
            <w:r w:rsidR="001656A5" w:rsidRPr="001656A5">
              <w:rPr>
                <w:rFonts w:ascii="Helvetica" w:hAnsi="Helvetica"/>
                <w:b/>
                <w:sz w:val="20"/>
                <w:szCs w:val="20"/>
                <w:lang w:val="en-US"/>
              </w:rPr>
              <w:t>therapeutic antibodies</w:t>
            </w:r>
          </w:p>
          <w:p w:rsidR="00E73110" w:rsidRDefault="00E73110" w:rsidP="00E73110">
            <w:pPr>
              <w:suppressAutoHyphens w:val="0"/>
              <w:spacing w:after="0" w:line="360" w:lineRule="auto"/>
              <w:rPr>
                <w:rFonts w:ascii="Helvetica" w:hAnsi="Helvetica"/>
                <w:sz w:val="20"/>
                <w:szCs w:val="20"/>
                <w:lang w:val="en-US"/>
              </w:rPr>
            </w:pPr>
          </w:p>
          <w:p w:rsidR="00E73110" w:rsidRDefault="00E73110" w:rsidP="00E6407E">
            <w:pPr>
              <w:suppressAutoHyphens w:val="0"/>
              <w:spacing w:after="0" w:line="360" w:lineRule="auto"/>
            </w:pPr>
            <w:r w:rsidRPr="00E73110">
              <w:rPr>
                <w:b/>
              </w:rPr>
              <w:t>Humanisation des anticorps par greffe  de CDR-IMGT</w:t>
            </w:r>
          </w:p>
          <w:p w:rsidR="00E73110" w:rsidRPr="00E6407E" w:rsidRDefault="00E73110" w:rsidP="00E73110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b/>
                <w:lang w:eastAsia="fr-FR"/>
              </w:rPr>
            </w:pPr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 xml:space="preserve">L'humanisation de l’anticorps </w:t>
            </w:r>
            <w:proofErr w:type="spellStart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>alemtuzumab</w:t>
            </w:r>
            <w:proofErr w:type="spellEnd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 xml:space="preserve"> a été faite à partir de la séquence  de l'anticorps de rat  YTH 34.5HL (en vert), en utilisant la séquence humaine </w:t>
            </w:r>
            <w:proofErr w:type="spellStart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>Newm</w:t>
            </w:r>
            <w:proofErr w:type="spellEnd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 xml:space="preserve"> (en rouge). </w:t>
            </w:r>
          </w:p>
          <w:p w:rsidR="00E73110" w:rsidRPr="00E6407E" w:rsidRDefault="00E73110" w:rsidP="00E6407E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fr-FR"/>
              </w:rPr>
            </w:pPr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 xml:space="preserve">Dans la chaîne lourde de l’anticorps humanisé,  les délimitations des CDR (en vert) et des FR (en rouge) utilisées sont celles de </w:t>
            </w:r>
            <w:proofErr w:type="spellStart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>Kabat</w:t>
            </w:r>
            <w:proofErr w:type="spellEnd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>. Deux changements d'acides aminés, S28&gt; F et S35&gt; T (en bleu) ont été rajoutés dans la séquence humanisée pour restaurer la spécificité et l’affinité. L’</w:t>
            </w:r>
            <w:proofErr w:type="spellStart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>alemtuzumab</w:t>
            </w:r>
            <w:proofErr w:type="spellEnd"/>
            <w:r w:rsidRPr="00E6407E">
              <w:rPr>
                <w:rFonts w:asciiTheme="minorHAnsi" w:eastAsia="Times New Roman" w:hAnsiTheme="minorHAnsi" w:cs="Arial"/>
                <w:bCs/>
                <w:lang w:eastAsia="fr-FR"/>
              </w:rPr>
              <w:t xml:space="preserve"> a un pourcentage d’identité de 73% pour son VH avec le gène humain IGHV4-59*04.</w:t>
            </w:r>
          </w:p>
          <w:p w:rsidR="00E73110" w:rsidRPr="009A37F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fr-FR"/>
              </w:rPr>
            </w:pPr>
          </w:p>
          <w:p w:rsidR="00E73110" w:rsidRPr="00AF5B59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eastAsia="fr-FR"/>
              </w:rPr>
            </w:pP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eastAsia="fr-FR"/>
              </w:rPr>
              <w:t>____________________________________________________________________________________________________________________________</w:t>
            </w:r>
            <w:r w:rsidRPr="00AF5B59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eastAsia="fr-FR"/>
              </w:rPr>
              <w:t>__________________________</w:t>
            </w:r>
          </w:p>
          <w:p w:rsidR="00E73110" w:rsidRPr="00AF5B59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eastAsia="fr-FR"/>
              </w:rPr>
            </w:pPr>
          </w:p>
          <w:p w:rsidR="00E73110" w:rsidRPr="002557E4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fr-FR"/>
              </w:rPr>
            </w:pPr>
            <w:r w:rsidRPr="002557E4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fr-FR"/>
              </w:rPr>
              <w:t xml:space="preserve">IGH V-D-J-REGION 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fr-FR"/>
              </w:rPr>
              <w:t xml:space="preserve">  FR1-IMGT       </w:t>
            </w:r>
            <w:r w:rsidRPr="002557E4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fr-FR"/>
              </w:rPr>
              <w:t>CDR1-IMGT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fr-FR"/>
              </w:rPr>
              <w:t xml:space="preserve">     FR2-IMGT     </w:t>
            </w:r>
            <w:r w:rsidRPr="002557E4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fr-FR"/>
              </w:rPr>
              <w:t>CDR2-IMGT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fr-FR"/>
              </w:rPr>
              <w:t xml:space="preserve">               FR3-IMGT               </w:t>
            </w:r>
            <w:r w:rsidRPr="002557E4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fr-FR"/>
              </w:rPr>
              <w:t>CDR3-IMGT</w:t>
            </w:r>
            <w:r w:rsidRPr="002557E4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fr-FR"/>
              </w:rPr>
              <w:t xml:space="preserve">    FR4-IMGT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</w:pPr>
            <w:r w:rsidRPr="00AF5B59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eastAsia="fr-FR"/>
              </w:rPr>
              <w:t xml:space="preserve">                      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(1-26)            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6"/>
                <w:lang w:val="en-US" w:eastAsia="fr-FR"/>
              </w:rPr>
              <w:t>(27-38)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      (39-55)       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6"/>
                <w:lang w:val="en-US" w:eastAsia="fr-FR"/>
              </w:rPr>
              <w:t>(56-65)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                 (66-104)                   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6"/>
                <w:lang w:val="en-US" w:eastAsia="fr-FR"/>
              </w:rPr>
              <w:t>(105-117)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 (118-128)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</w:pP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           </w:t>
            </w:r>
            <w:r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A             B           BC         C        </w:t>
            </w:r>
            <w:proofErr w:type="spellStart"/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>C</w:t>
            </w:r>
            <w:proofErr w:type="spellEnd"/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'        C'C"       C"         D           E          F          FG            G     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</w:pP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        </w:t>
            </w:r>
            <w:r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   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(1-15)        (16-26)     (27-38)    (39-46)   (47-55)   (56-65)    (66-74)   (75-84)     (85-96)    (97-104)   (105-117)    (118-128) 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</w:pP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>_____</w:t>
            </w:r>
            <w:r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>_____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6"/>
                <w:lang w:val="en-US" w:eastAsia="fr-FR"/>
              </w:rPr>
              <w:t xml:space="preserve"> _______________ ___________ ____________ ________ _________ __________ _________ __________ ____________ ________ _____________ ___________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</w:pP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 xml:space="preserve">      </w:t>
            </w:r>
            <w:r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 xml:space="preserve">     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>1       10   1516     23 26 27        38 3941   4647     5556       65 66     74 75   80 84 85  89    96 97   104 105 11112 117 118     128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 xml:space="preserve">           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>.........|....| |......|..| |..........| |.|....| |.......| |........| |.......| |....|...| |...|......| |......| |.....||....| |.........|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</w:pPr>
            <w:r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Norway rat 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>EVKLLESGG.GLVQP GGSMRLS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C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AGS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GFTF....TDFY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 MNWIRQPA GKAPEWLGF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IRDKAKGYTT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 EYNPSVK.G RFTISRDNTQ NMLYLQMNTLRA EDTATYY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C AREGHT.AAPFDY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 WGQGVMVTVSS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</w:pPr>
            <w:r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Human      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>QVQLQESGP.GLVRP SQTLSLT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C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TVS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GSTF....SNDY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 YTWVRQPP GRGLEWIGY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VFYH...GTS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 DDTTPLR.S RVTMLVDTSK NQFSLRLSSVTA ADTAVYY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C ARNLIA</w:t>
            </w:r>
            <w:proofErr w:type="gramStart"/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..</w:t>
            </w:r>
            <w:proofErr w:type="gramEnd"/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GCIDV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 WGQGSLVTVSS</w:t>
            </w:r>
          </w:p>
          <w:p w:rsidR="00E73110" w:rsidRPr="003E3048" w:rsidRDefault="00E73110" w:rsidP="00E731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</w:pP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 xml:space="preserve">Humanized  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>QVQLQESGP.GLVRP SQTLSLT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C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TVS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G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3333FF"/>
                <w:sz w:val="12"/>
                <w:szCs w:val="10"/>
                <w:lang w:val="en-US" w:eastAsia="fr-FR"/>
              </w:rPr>
              <w:t>F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TF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0"/>
                <w:lang w:val="en-US" w:eastAsia="fr-FR"/>
              </w:rPr>
              <w:t>....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3333FF"/>
                <w:sz w:val="12"/>
                <w:szCs w:val="10"/>
                <w:lang w:val="en-US" w:eastAsia="fr-FR"/>
              </w:rPr>
              <w:t>T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DFY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 xml:space="preserve"> 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>MN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>WVRQPP GRGLEWIG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F 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IRDKAKGYTT</w:t>
            </w:r>
            <w:r w:rsidRPr="003E3048">
              <w:rPr>
                <w:rFonts w:ascii="Courier New" w:eastAsia="Times New Roman" w:hAnsi="Courier New" w:cs="Courier New"/>
                <w:color w:val="009900"/>
                <w:sz w:val="12"/>
                <w:szCs w:val="10"/>
                <w:lang w:val="en-US" w:eastAsia="fr-FR"/>
              </w:rPr>
              <w:t xml:space="preserve"> EYNPSVK.G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 xml:space="preserve"> RVTMLVDTSK NQFSLRLSSVTA ADTAVYY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FF0000"/>
                <w:sz w:val="12"/>
                <w:szCs w:val="10"/>
                <w:lang w:val="en-US" w:eastAsia="fr-FR"/>
              </w:rPr>
              <w:t>C AR</w:t>
            </w:r>
            <w:r w:rsidRPr="003E3048">
              <w:rPr>
                <w:rFonts w:ascii="Courier New" w:eastAsia="Times New Roman" w:hAnsi="Courier New" w:cs="Courier New"/>
                <w:b/>
                <w:bCs/>
                <w:color w:val="009900"/>
                <w:sz w:val="12"/>
                <w:szCs w:val="10"/>
                <w:lang w:val="en-US" w:eastAsia="fr-FR"/>
              </w:rPr>
              <w:t>EGHT.AAPFDY</w:t>
            </w:r>
            <w:r w:rsidRPr="003E3048">
              <w:rPr>
                <w:rFonts w:ascii="Courier New" w:eastAsia="Times New Roman" w:hAnsi="Courier New" w:cs="Courier New"/>
                <w:color w:val="000000"/>
                <w:sz w:val="12"/>
                <w:szCs w:val="10"/>
                <w:lang w:val="en-US" w:eastAsia="fr-FR"/>
              </w:rPr>
              <w:t xml:space="preserve"> </w:t>
            </w:r>
            <w:r w:rsidRPr="003E3048">
              <w:rPr>
                <w:rFonts w:ascii="Courier New" w:eastAsia="Times New Roman" w:hAnsi="Courier New" w:cs="Courier New"/>
                <w:color w:val="FF0000"/>
                <w:sz w:val="12"/>
                <w:szCs w:val="10"/>
                <w:lang w:val="en-US" w:eastAsia="fr-FR"/>
              </w:rPr>
              <w:t>WGQGSLVTVSS</w:t>
            </w:r>
          </w:p>
          <w:p w:rsidR="00E73110" w:rsidRDefault="00E73110" w:rsidP="00E73110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10"/>
                <w:szCs w:val="10"/>
                <w:lang w:val="en-US"/>
              </w:rPr>
            </w:pPr>
          </w:p>
          <w:p w:rsidR="00E73110" w:rsidRDefault="00E73110" w:rsidP="00E73110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ab/>
            </w:r>
          </w:p>
          <w:p w:rsidR="00E73110" w:rsidRDefault="00E73110" w:rsidP="00E6407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7"/>
                <w:lang w:eastAsia="fr-FR"/>
              </w:rPr>
            </w:pPr>
            <w:r w:rsidRPr="0039017D">
              <w:rPr>
                <w:rFonts w:ascii="Times New Roman" w:eastAsia="Times New Roman" w:hAnsi="Times New Roman" w:cs="Arial"/>
                <w:bCs/>
                <w:sz w:val="24"/>
                <w:szCs w:val="27"/>
                <w:lang w:val="en-US" w:eastAsia="fr-FR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7"/>
                <w:lang w:eastAsia="fr-FR"/>
              </w:rPr>
              <w:t>Commentez sur ces informations. b) Que proposeriez-vous si vous deviez humaniser cet anticorps de rat à l’heure actuelle ? Et pourquoi ?</w:t>
            </w:r>
          </w:p>
          <w:p w:rsidR="00E6407E" w:rsidRPr="00E6407E" w:rsidRDefault="00E6407E" w:rsidP="00E6407E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080"/>
              <w:rPr>
                <w:rFonts w:ascii="Times New Roman" w:eastAsia="Times New Roman" w:hAnsi="Times New Roman" w:cs="Arial"/>
                <w:bCs/>
                <w:sz w:val="24"/>
                <w:szCs w:val="27"/>
                <w:lang w:eastAsia="fr-FR"/>
              </w:rPr>
            </w:pPr>
          </w:p>
          <w:p w:rsidR="00E73110" w:rsidRPr="00B560DB" w:rsidRDefault="00E73110" w:rsidP="00E73110">
            <w:pPr>
              <w:numPr>
                <w:ilvl w:val="0"/>
                <w:numId w:val="12"/>
              </w:numPr>
              <w:suppressAutoHyphens w:val="0"/>
              <w:spacing w:after="0" w:line="360" w:lineRule="auto"/>
            </w:pPr>
            <w:proofErr w:type="spellStart"/>
            <w:r w:rsidRPr="0065485C">
              <w:rPr>
                <w:b/>
              </w:rPr>
              <w:t>Knobs-into-holes</w:t>
            </w:r>
            <w:proofErr w:type="spellEnd"/>
            <w:r>
              <w:t xml:space="preserve"> pour les anticorps bispécifiques: IMGT/3Dstructure-DB relation avec IMGT/Collier</w:t>
            </w:r>
            <w:r w:rsidR="00943EE3">
              <w:t>-</w:t>
            </w:r>
            <w:r>
              <w:t>de</w:t>
            </w:r>
            <w:r w:rsidR="00943EE3">
              <w:t>-</w:t>
            </w:r>
            <w:r>
              <w:t xml:space="preserve">Perles et Contact </w:t>
            </w:r>
            <w:proofErr w:type="spellStart"/>
            <w:r>
              <w:t>analysis</w:t>
            </w:r>
            <w:proofErr w:type="spellEnd"/>
            <w:r>
              <w:t xml:space="preserve"> (pdb : 1hzh)</w:t>
            </w:r>
          </w:p>
          <w:p w:rsidR="00E73110" w:rsidRPr="00F003CC" w:rsidRDefault="00E73110" w:rsidP="00E73110">
            <w:pPr>
              <w:spacing w:line="360" w:lineRule="auto"/>
              <w:ind w:left="360" w:firstLine="348"/>
            </w:pPr>
            <w:r w:rsidRPr="00F003CC">
              <w:sym w:font="Wingdings" w:char="F0E0"/>
            </w:r>
            <w:r w:rsidRPr="00F003CC">
              <w:t xml:space="preserve"> </w:t>
            </w:r>
            <w:r>
              <w:t>AA</w:t>
            </w:r>
            <w:r w:rsidRPr="00F003CC">
              <w:t xml:space="preserve"> </w:t>
            </w:r>
            <w:r w:rsidRPr="00BB0184">
              <w:rPr>
                <w:b/>
              </w:rPr>
              <w:t>T22 et Y86 du CH3</w:t>
            </w:r>
            <w:r w:rsidRPr="00F003CC">
              <w:t xml:space="preserve"> </w:t>
            </w:r>
          </w:p>
          <w:p w:rsidR="00E73110" w:rsidRPr="00E6407E" w:rsidRDefault="00E73110" w:rsidP="00E6407E">
            <w:pPr>
              <w:spacing w:line="360" w:lineRule="auto"/>
              <w:ind w:left="360" w:firstLine="348"/>
            </w:pPr>
            <w:r w:rsidRPr="00F003CC">
              <w:sym w:font="Wingdings" w:char="F0E0"/>
            </w:r>
            <w:r w:rsidRPr="00F003CC">
              <w:t xml:space="preserve"> Construire un tableau résumant les interactions impliquant les </w:t>
            </w:r>
            <w:r>
              <w:t>AA</w:t>
            </w:r>
            <w:r w:rsidRPr="00F003CC">
              <w:t xml:space="preserve"> T22 et Y86</w:t>
            </w:r>
          </w:p>
          <w:p w:rsidR="00E73110" w:rsidRDefault="00E73110" w:rsidP="00E73110">
            <w:pPr>
              <w:numPr>
                <w:ilvl w:val="0"/>
                <w:numId w:val="12"/>
              </w:numPr>
              <w:suppressAutoHyphens w:val="0"/>
              <w:spacing w:after="0" w:line="360" w:lineRule="auto"/>
            </w:pPr>
            <w:r>
              <w:rPr>
                <w:b/>
              </w:rPr>
              <w:t>Half</w:t>
            </w:r>
            <w:r w:rsidRPr="00F04FC5">
              <w:rPr>
                <w:b/>
              </w:rPr>
              <w:t>-IG exchange</w:t>
            </w:r>
            <w:r w:rsidRPr="00F04FC5">
              <w:t xml:space="preserve"> pour les anticorps bispécifiques : IMGT/3Dstructure-DB relation avec IMGT/Collier</w:t>
            </w:r>
            <w:r w:rsidR="00943EE3">
              <w:t>-</w:t>
            </w:r>
            <w:r w:rsidRPr="00F04FC5">
              <w:t>de</w:t>
            </w:r>
            <w:r w:rsidR="00943EE3">
              <w:t>-</w:t>
            </w:r>
            <w:r w:rsidRPr="00F04FC5">
              <w:t xml:space="preserve">Perles et Contact </w:t>
            </w:r>
            <w:proofErr w:type="spellStart"/>
            <w:r w:rsidRPr="00F04FC5">
              <w:t>analysis</w:t>
            </w:r>
            <w:proofErr w:type="spellEnd"/>
            <w:r w:rsidRPr="00F04FC5">
              <w:t xml:space="preserve"> (pdb : 1hzh)</w:t>
            </w:r>
          </w:p>
          <w:p w:rsidR="00E73110" w:rsidRPr="0016579C" w:rsidRDefault="00E73110" w:rsidP="00E73110">
            <w:pPr>
              <w:spacing w:line="360" w:lineRule="auto"/>
              <w:ind w:left="360"/>
            </w:pPr>
            <w:r w:rsidRPr="0016579C">
              <w:t xml:space="preserve">   </w:t>
            </w:r>
            <w:r w:rsidRPr="0016579C">
              <w:sym w:font="Wingdings" w:char="F0E0"/>
            </w:r>
            <w:r w:rsidRPr="0016579C">
              <w:t xml:space="preserve">AA </w:t>
            </w:r>
            <w:r w:rsidRPr="0016579C">
              <w:rPr>
                <w:b/>
              </w:rPr>
              <w:t>P10</w:t>
            </w:r>
          </w:p>
          <w:p w:rsidR="00E73110" w:rsidRDefault="00E73110" w:rsidP="00E73110">
            <w:pPr>
              <w:spacing w:line="360" w:lineRule="auto"/>
              <w:rPr>
                <w:b/>
              </w:rPr>
            </w:pPr>
            <w:r w:rsidRPr="0016579C">
              <w:t xml:space="preserve">         </w:t>
            </w:r>
            <w:r w:rsidRPr="0016579C">
              <w:sym w:font="Wingdings" w:char="F0E0"/>
            </w:r>
            <w:r w:rsidRPr="0016579C">
              <w:t xml:space="preserve"> AA </w:t>
            </w:r>
            <w:r w:rsidRPr="0016579C">
              <w:rPr>
                <w:b/>
              </w:rPr>
              <w:t>K88 et F85.1 du CH3</w:t>
            </w:r>
          </w:p>
          <w:p w:rsidR="00E73110" w:rsidRPr="007469AC" w:rsidRDefault="00E73110" w:rsidP="00E6407E">
            <w:pPr>
              <w:spacing w:line="360" w:lineRule="auto"/>
            </w:pPr>
            <w:r w:rsidRPr="00F04FC5">
              <w:rPr>
                <w:b/>
              </w:rPr>
              <w:lastRenderedPageBreak/>
              <w:t xml:space="preserve"> </w:t>
            </w:r>
            <w:r w:rsidRPr="007469AC">
              <w:rPr>
                <w:b/>
                <w:sz w:val="28"/>
              </w:rPr>
              <w:t>Antic</w:t>
            </w:r>
            <w:r>
              <w:rPr>
                <w:b/>
                <w:sz w:val="28"/>
              </w:rPr>
              <w:t>orps thérapeutiques et FPIA</w:t>
            </w:r>
            <w:r w:rsidRPr="007469AC">
              <w:rPr>
                <w:b/>
                <w:sz w:val="28"/>
              </w:rPr>
              <w:t>: IMGT/</w:t>
            </w:r>
            <w:proofErr w:type="spellStart"/>
            <w:r w:rsidRPr="007469AC">
              <w:rPr>
                <w:b/>
                <w:sz w:val="28"/>
              </w:rPr>
              <w:t>mAb</w:t>
            </w:r>
            <w:proofErr w:type="spellEnd"/>
            <w:r w:rsidRPr="007469AC">
              <w:rPr>
                <w:b/>
                <w:sz w:val="28"/>
              </w:rPr>
              <w:t>-D</w:t>
            </w:r>
            <w:r>
              <w:rPr>
                <w:b/>
                <w:sz w:val="28"/>
              </w:rPr>
              <w:t>B</w:t>
            </w:r>
          </w:p>
          <w:p w:rsidR="00E73110" w:rsidRDefault="00E73110" w:rsidP="00E73110">
            <w:pPr>
              <w:numPr>
                <w:ilvl w:val="0"/>
                <w:numId w:val="13"/>
              </w:numPr>
              <w:suppressAutoHyphens w:val="0"/>
              <w:spacing w:after="0" w:line="360" w:lineRule="auto"/>
            </w:pPr>
            <w:r w:rsidRPr="00FD2E95">
              <w:t>INN (nomenclature des anticorps :</w:t>
            </w:r>
            <w:r>
              <w:t xml:space="preserve"> d’IMGT-ONTOLOGY à la définition DCI (MP Lefranc, IMGT Poster et diaporama)</w:t>
            </w:r>
          </w:p>
          <w:p w:rsidR="00E73110" w:rsidRDefault="00E73110" w:rsidP="00E73110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rPr>
                <w:lang w:val="en-US"/>
              </w:rPr>
            </w:pPr>
            <w:proofErr w:type="spellStart"/>
            <w:r w:rsidRPr="007871BC">
              <w:rPr>
                <w:lang w:val="en-US"/>
              </w:rPr>
              <w:t>mAb</w:t>
            </w:r>
            <w:proofErr w:type="spellEnd"/>
            <w:r w:rsidRPr="007871BC">
              <w:rPr>
                <w:lang w:val="en-US"/>
              </w:rPr>
              <w:t>-DB :</w:t>
            </w:r>
            <w:r>
              <w:rPr>
                <w:lang w:val="en-US"/>
              </w:rPr>
              <w:t xml:space="preserve"> antibody status (develop</w:t>
            </w:r>
            <w:r w:rsidRPr="007871BC">
              <w:rPr>
                <w:lang w:val="en-US"/>
              </w:rPr>
              <w:t>ment status)</w:t>
            </w:r>
          </w:p>
          <w:p w:rsidR="00E73110" w:rsidRDefault="00E73110" w:rsidP="00E73110">
            <w:pPr>
              <w:spacing w:line="360" w:lineRule="auto"/>
              <w:ind w:left="1068" w:firstLine="348"/>
              <w:rPr>
                <w:lang w:val="en-US"/>
              </w:rPr>
            </w:pPr>
            <w:r w:rsidRPr="007871BC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Active (“preclinical” or “clinical phases”) vs. inactive (“Discontinued” or “withdrawn”) </w:t>
            </w:r>
          </w:p>
          <w:p w:rsidR="00E73110" w:rsidRPr="000A1E31" w:rsidRDefault="00E73110" w:rsidP="00E6407E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 w:rsidRPr="000A1E31">
              <w:t xml:space="preserve">Phase </w:t>
            </w:r>
            <w:proofErr w:type="spellStart"/>
            <w:r w:rsidRPr="000A1E31">
              <w:t>pré-clinique</w:t>
            </w:r>
            <w:proofErr w:type="spellEnd"/>
            <w:r>
              <w:t xml:space="preserve"> </w:t>
            </w:r>
            <w:r w:rsidRPr="000A1E31">
              <w:t>(ou phase 0)</w:t>
            </w:r>
            <w:r>
              <w:t>: pharmacodynamique</w:t>
            </w:r>
            <w:r w:rsidRPr="000A1E31">
              <w:t xml:space="preserve"> an</w:t>
            </w:r>
            <w:r>
              <w:t>d p</w:t>
            </w:r>
            <w:r w:rsidRPr="000A1E31">
              <w:t>harmacoc</w:t>
            </w:r>
            <w:r>
              <w:t>inétique</w:t>
            </w:r>
          </w:p>
          <w:p w:rsidR="00E73110" w:rsidRPr="00403D28" w:rsidRDefault="00E73110" w:rsidP="00E6407E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Phase I</w:t>
            </w:r>
            <w:r w:rsidRPr="00403D28">
              <w:t>: Tolérance et absence d’effets indésirable</w:t>
            </w:r>
            <w:r>
              <w:t xml:space="preserve"> (sécurité)</w:t>
            </w:r>
          </w:p>
          <w:p w:rsidR="00E73110" w:rsidRPr="00403D28" w:rsidRDefault="00E73110" w:rsidP="00E6407E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Phase II</w:t>
            </w:r>
            <w:r w:rsidRPr="00403D28">
              <w:t xml:space="preserve">: Efficacité de la </w:t>
            </w:r>
            <w:r>
              <w:t>molé</w:t>
            </w:r>
            <w:r w:rsidRPr="00403D28">
              <w:t xml:space="preserve">cule vs. </w:t>
            </w:r>
            <w:r>
              <w:t>Placebo (détermination de la dose optimale)</w:t>
            </w:r>
          </w:p>
          <w:p w:rsidR="00E73110" w:rsidRPr="00403D28" w:rsidRDefault="00E73110" w:rsidP="00E6407E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Phase III</w:t>
            </w:r>
            <w:r w:rsidRPr="00403D28">
              <w:t>: Confirmation finale de la sécurité et de l’ef</w:t>
            </w:r>
            <w:r>
              <w:t>f</w:t>
            </w:r>
            <w:r w:rsidRPr="00403D28">
              <w:t>icacité</w:t>
            </w:r>
          </w:p>
          <w:p w:rsidR="00E73110" w:rsidRPr="00403D28" w:rsidRDefault="00E73110" w:rsidP="00E6407E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Phase IV (phase M ?)</w:t>
            </w:r>
            <w:r w:rsidRPr="00403D28">
              <w:t xml:space="preserve">: </w:t>
            </w:r>
            <w:r>
              <w:t>S</w:t>
            </w:r>
            <w:r w:rsidRPr="00403D28">
              <w:t>uivi à long ter</w:t>
            </w:r>
            <w:r>
              <w:t xml:space="preserve">me d'un traitement alors que la molécule </w:t>
            </w:r>
            <w:r w:rsidRPr="00403D28">
              <w:t>est sur le marché</w:t>
            </w:r>
          </w:p>
          <w:p w:rsidR="00E6407E" w:rsidRDefault="00E73110" w:rsidP="00F10C90">
            <w:pPr>
              <w:spacing w:line="360" w:lineRule="auto"/>
              <w:ind w:firstLine="708"/>
              <w:rPr>
                <w:color w:val="0000FF"/>
              </w:rPr>
            </w:pPr>
            <w:r w:rsidRPr="001B6FF0">
              <w:rPr>
                <w:color w:val="0000FF"/>
                <w:lang w:val="en-US"/>
              </w:rPr>
              <w:sym w:font="Wingdings" w:char="F0E0"/>
            </w:r>
            <w:r w:rsidRPr="001B6FF0">
              <w:rPr>
                <w:color w:val="0000FF"/>
              </w:rPr>
              <w:t xml:space="preserve"> Réflexion sur la cause de l’échec </w:t>
            </w:r>
            <w:r>
              <w:rPr>
                <w:color w:val="0000FF"/>
              </w:rPr>
              <w:t xml:space="preserve">d’un essai clinique </w:t>
            </w:r>
            <w:r w:rsidRPr="0079695E">
              <w:rPr>
                <w:color w:val="FF0000"/>
              </w:rPr>
              <w:t>(efficacité, sécurité, raisons techniques ou commercial</w:t>
            </w:r>
            <w:r w:rsidR="00943EE3">
              <w:rPr>
                <w:color w:val="FF0000"/>
              </w:rPr>
              <w:t>es</w:t>
            </w:r>
            <w:r w:rsidRPr="0079695E">
              <w:rPr>
                <w:color w:val="FF0000"/>
              </w:rPr>
              <w:t>, …)</w:t>
            </w:r>
            <w:r w:rsidRPr="001B6FF0">
              <w:rPr>
                <w:color w:val="0000FF"/>
              </w:rPr>
              <w:t xml:space="preserve"> pour </w:t>
            </w:r>
            <w:r>
              <w:rPr>
                <w:color w:val="0000FF"/>
              </w:rPr>
              <w:t xml:space="preserve">les molécules </w:t>
            </w:r>
            <w:r w:rsidRPr="001B6FF0">
              <w:rPr>
                <w:color w:val="0000FF"/>
              </w:rPr>
              <w:t>retiré</w:t>
            </w:r>
            <w:r>
              <w:rPr>
                <w:color w:val="0000FF"/>
              </w:rPr>
              <w:t>es</w:t>
            </w:r>
            <w:r w:rsidRPr="001B6FF0">
              <w:rPr>
                <w:color w:val="0000FF"/>
              </w:rPr>
              <w:t xml:space="preserve"> du marché</w:t>
            </w:r>
            <w:r>
              <w:rPr>
                <w:color w:val="0000FF"/>
              </w:rPr>
              <w:t xml:space="preserve"> (</w:t>
            </w:r>
            <w:proofErr w:type="spellStart"/>
            <w:r w:rsidRPr="001B6FF0">
              <w:rPr>
                <w:color w:val="0000FF"/>
              </w:rPr>
              <w:t>withdrawn</w:t>
            </w:r>
            <w:proofErr w:type="spellEnd"/>
            <w:r w:rsidRPr="001B6FF0">
              <w:rPr>
                <w:color w:val="0000FF"/>
              </w:rPr>
              <w:t>)</w:t>
            </w:r>
          </w:p>
          <w:p w:rsidR="00F10C90" w:rsidRDefault="00F10C90" w:rsidP="00F10C90">
            <w:pPr>
              <w:spacing w:line="360" w:lineRule="auto"/>
              <w:ind w:firstLine="708"/>
              <w:rPr>
                <w:color w:val="0000FF"/>
              </w:rPr>
            </w:pPr>
          </w:p>
          <w:p w:rsidR="00E73110" w:rsidRPr="00A95598" w:rsidRDefault="00E73110" w:rsidP="00E73110">
            <w:pPr>
              <w:numPr>
                <w:ilvl w:val="0"/>
                <w:numId w:val="13"/>
              </w:numPr>
              <w:suppressAutoHyphens w:val="0"/>
              <w:spacing w:after="0" w:line="360" w:lineRule="auto"/>
            </w:pPr>
            <w:proofErr w:type="spellStart"/>
            <w:r w:rsidRPr="00BE4102">
              <w:t>mAb</w:t>
            </w:r>
            <w:proofErr w:type="spellEnd"/>
            <w:r w:rsidRPr="00BE4102">
              <w:t xml:space="preserve">-DB : </w:t>
            </w:r>
            <w:r>
              <w:t>molécule</w:t>
            </w:r>
            <w:r w:rsidR="00943EE3">
              <w:t>s</w:t>
            </w:r>
            <w:r>
              <w:t xml:space="preserve"> humanisées (</w:t>
            </w:r>
            <w:proofErr w:type="spellStart"/>
            <w:r w:rsidRPr="00AE4691">
              <w:t>species</w:t>
            </w:r>
            <w:proofErr w:type="spellEnd"/>
            <w:r w:rsidRPr="00AE4691">
              <w:t xml:space="preserve"> : </w:t>
            </w:r>
            <w:proofErr w:type="spellStart"/>
            <w:r w:rsidRPr="00AE4691">
              <w:t>humanized</w:t>
            </w:r>
            <w:proofErr w:type="spellEnd"/>
            <w:r w:rsidRPr="00AE4691">
              <w:t xml:space="preserve"> ; application : </w:t>
            </w:r>
            <w:proofErr w:type="spellStart"/>
            <w:r w:rsidRPr="00AE4691">
              <w:t>therapeutic</w:t>
            </w:r>
            <w:proofErr w:type="spellEnd"/>
            <w:r w:rsidRPr="00AE4691">
              <w:t>)</w:t>
            </w:r>
          </w:p>
          <w:p w:rsidR="00E73110" w:rsidRDefault="00E73110" w:rsidP="00E73110">
            <w:pPr>
              <w:spacing w:line="360" w:lineRule="auto"/>
              <w:ind w:firstLine="708"/>
            </w:pPr>
            <w:r w:rsidRPr="00AE4691">
              <w:sym w:font="Wingdings" w:char="F0E0"/>
            </w:r>
            <w:r w:rsidRPr="00AE4691">
              <w:t xml:space="preserve"> 91 molécules humanisées dont 13 sur le marché </w:t>
            </w:r>
            <w:r>
              <w:t>et 16 en phase III</w:t>
            </w:r>
            <w:r w:rsidRPr="00AE4691">
              <w:t xml:space="preserve"> </w:t>
            </w:r>
          </w:p>
          <w:p w:rsidR="00E73110" w:rsidRDefault="00E73110" w:rsidP="00E73110">
            <w:pPr>
              <w:spacing w:line="360" w:lineRule="auto"/>
              <w:rPr>
                <w:color w:val="0000FF"/>
              </w:rPr>
            </w:pPr>
            <w:r w:rsidRPr="00AE4691">
              <w:rPr>
                <w:color w:val="0000FF"/>
              </w:rPr>
              <w:t xml:space="preserve">     </w:t>
            </w:r>
            <w:r>
              <w:rPr>
                <w:color w:val="0000FF"/>
              </w:rPr>
              <w:tab/>
            </w:r>
            <w:r w:rsidRPr="00AE4691">
              <w:rPr>
                <w:color w:val="0000FF"/>
              </w:rPr>
              <w:sym w:font="Wingdings" w:char="F0E0"/>
            </w:r>
            <w:r w:rsidRPr="00AE4691">
              <w:rPr>
                <w:color w:val="0000FF"/>
              </w:rPr>
              <w:t xml:space="preserve"> </w:t>
            </w:r>
            <w:r w:rsidRPr="00A95598">
              <w:rPr>
                <w:color w:val="0000FF"/>
                <w:u w:val="single"/>
              </w:rPr>
              <w:t>Réflexion</w:t>
            </w:r>
            <w:r>
              <w:rPr>
                <w:color w:val="0000FF"/>
              </w:rPr>
              <w:t xml:space="preserve"> : origine ? </w:t>
            </w:r>
            <w:r w:rsidRPr="00AE4691">
              <w:rPr>
                <w:color w:val="0000FF"/>
              </w:rPr>
              <w:t>Pourcentage d’humanisation</w:t>
            </w:r>
            <w:r>
              <w:rPr>
                <w:color w:val="0000FF"/>
              </w:rPr>
              <w:t> ?</w:t>
            </w:r>
          </w:p>
          <w:p w:rsidR="00E73110" w:rsidRPr="003321F7" w:rsidRDefault="00E73110" w:rsidP="00E73110">
            <w:pPr>
              <w:spacing w:line="360" w:lineRule="auto"/>
              <w:ind w:firstLine="708"/>
              <w:rPr>
                <w:color w:val="0000FF"/>
              </w:rPr>
            </w:pPr>
            <w:r w:rsidRPr="003321F7">
              <w:rPr>
                <w:color w:val="0000FF"/>
              </w:rPr>
              <w:sym w:font="Wingdings" w:char="F0E0"/>
            </w:r>
            <w:r>
              <w:rPr>
                <w:color w:val="0000FF"/>
              </w:rPr>
              <w:t xml:space="preserve"> Construire un tableau en 2 dimensions avec en X, le % d’humanisation des V-kappa et en Y,  le % d’humanisation des VH. Représenter les données pour les anticorps humains (en vert), humanisés (en rouge) et 2 anticorps chimériques (en rouge avec les valeurs des % d’identités comparés aux séquences humaines)</w:t>
            </w:r>
          </w:p>
          <w:p w:rsidR="00E73110" w:rsidRPr="008D6E2A" w:rsidRDefault="00E73110" w:rsidP="00E73110">
            <w:pPr>
              <w:spacing w:line="360" w:lineRule="auto"/>
            </w:pPr>
          </w:p>
          <w:p w:rsidR="00E73110" w:rsidRPr="007333D2" w:rsidRDefault="00E73110" w:rsidP="00E73110">
            <w:pPr>
              <w:numPr>
                <w:ilvl w:val="0"/>
                <w:numId w:val="13"/>
              </w:numPr>
              <w:suppressAutoHyphens w:val="0"/>
              <w:spacing w:after="0" w:line="360" w:lineRule="auto"/>
              <w:rPr>
                <w:color w:val="0000FF"/>
              </w:rPr>
            </w:pPr>
            <w:proofErr w:type="spellStart"/>
            <w:r w:rsidRPr="00BE4102">
              <w:t>mAb</w:t>
            </w:r>
            <w:proofErr w:type="spellEnd"/>
            <w:r w:rsidRPr="00BE4102">
              <w:t xml:space="preserve">-DB : </w:t>
            </w:r>
            <w:r>
              <w:t xml:space="preserve">Réflexion sur </w:t>
            </w:r>
            <w:proofErr w:type="spellStart"/>
            <w:r>
              <w:t>mAb</w:t>
            </w:r>
            <w:proofErr w:type="spellEnd"/>
            <w:r>
              <w:t>-DB</w:t>
            </w:r>
          </w:p>
          <w:p w:rsidR="00E73110" w:rsidRDefault="00E73110" w:rsidP="00E73110">
            <w:pPr>
              <w:spacing w:line="360" w:lineRule="auto"/>
              <w:ind w:left="708"/>
            </w:pPr>
            <w:r>
              <w:sym w:font="Wingdings" w:char="F0E0"/>
            </w:r>
            <w:r w:rsidRPr="00F24381">
              <w:t xml:space="preserve"> A partir de la publication «</w:t>
            </w:r>
            <w:proofErr w:type="spellStart"/>
            <w:r w:rsidRPr="00F24381">
              <w:t>Tremelimumab</w:t>
            </w:r>
            <w:proofErr w:type="spellEnd"/>
            <w:r w:rsidRPr="00F24381">
              <w:t xml:space="preserve"> (CP-675,206), a </w:t>
            </w:r>
            <w:proofErr w:type="spellStart"/>
            <w:r w:rsidRPr="00F24381">
              <w:t>Cytotoxic</w:t>
            </w:r>
            <w:proofErr w:type="spellEnd"/>
            <w:r w:rsidRPr="00F24381">
              <w:t xml:space="preserve"> T Lymphocyte–Associated </w:t>
            </w:r>
            <w:proofErr w:type="spellStart"/>
            <w:r w:rsidRPr="00F24381">
              <w:t>Antigen</w:t>
            </w:r>
            <w:proofErr w:type="spellEnd"/>
            <w:r w:rsidRPr="00F24381">
              <w:t xml:space="preserve"> 4 </w:t>
            </w:r>
            <w:proofErr w:type="spellStart"/>
            <w:r w:rsidRPr="00F24381">
              <w:t>Blocking</w:t>
            </w:r>
            <w:proofErr w:type="spellEnd"/>
            <w:r w:rsidRPr="00F24381">
              <w:t xml:space="preserve"> Monoclonal </w:t>
            </w:r>
            <w:proofErr w:type="spellStart"/>
            <w:r w:rsidRPr="00F24381">
              <w:t>Antibody</w:t>
            </w:r>
            <w:proofErr w:type="spellEnd"/>
            <w:r w:rsidRPr="00F24381">
              <w:t xml:space="preserve"> in </w:t>
            </w:r>
            <w:proofErr w:type="spellStart"/>
            <w:r w:rsidRPr="00F24381">
              <w:t>Clinical</w:t>
            </w:r>
            <w:proofErr w:type="spellEnd"/>
            <w:r w:rsidRPr="00F24381">
              <w:t xml:space="preserve"> </w:t>
            </w:r>
            <w:proofErr w:type="spellStart"/>
            <w:r w:rsidRPr="00F24381">
              <w:t>Development</w:t>
            </w:r>
            <w:proofErr w:type="spellEnd"/>
            <w:r w:rsidRPr="00F24381">
              <w:t xml:space="preserve"> for Patients </w:t>
            </w:r>
            <w:proofErr w:type="spellStart"/>
            <w:r w:rsidRPr="00F24381">
              <w:t>with</w:t>
            </w:r>
            <w:proofErr w:type="spellEnd"/>
            <w:r w:rsidRPr="00F24381">
              <w:t xml:space="preserve"> Cancer »  de </w:t>
            </w:r>
            <w:proofErr w:type="spellStart"/>
            <w:r w:rsidRPr="00F24381">
              <w:t>Ribas</w:t>
            </w:r>
            <w:proofErr w:type="spellEnd"/>
            <w:r w:rsidRPr="00F24381">
              <w:t xml:space="preserve"> et al. </w:t>
            </w:r>
            <w:r>
              <w:t>(2007), dégagez les informations importantes pour l’étude d’une molécule et d’un traitement</w:t>
            </w:r>
          </w:p>
          <w:p w:rsidR="00E73110" w:rsidRPr="00624B58" w:rsidRDefault="00E73110" w:rsidP="00E73110">
            <w:pPr>
              <w:spacing w:line="360" w:lineRule="auto"/>
              <w:rPr>
                <w:color w:val="0000FF"/>
              </w:rPr>
            </w:pPr>
          </w:p>
          <w:p w:rsidR="00EE15F1" w:rsidRPr="00E73110" w:rsidRDefault="00EE15F1" w:rsidP="00233EC1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164677" w:rsidRPr="00E73110" w:rsidRDefault="00164677" w:rsidP="00EE15F1">
      <w:pPr>
        <w:rPr>
          <w:b/>
        </w:rPr>
      </w:pPr>
    </w:p>
    <w:sectPr w:rsidR="00164677" w:rsidRPr="00E73110" w:rsidSect="0016467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0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ABF"/>
    <w:multiLevelType w:val="hybridMultilevel"/>
    <w:tmpl w:val="4A32F6FA"/>
    <w:lvl w:ilvl="0" w:tplc="7F1E1F2C">
      <w:numFmt w:val="bullet"/>
      <w:lvlText w:val=""/>
      <w:lvlJc w:val="left"/>
      <w:pPr>
        <w:ind w:left="2484" w:hanging="360"/>
      </w:pPr>
      <w:rPr>
        <w:rFonts w:ascii="Symbol" w:eastAsia="Droid Sans Fallback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58B51B2"/>
    <w:multiLevelType w:val="hybridMultilevel"/>
    <w:tmpl w:val="9B823A86"/>
    <w:lvl w:ilvl="0" w:tplc="E2103D8C">
      <w:start w:val="5"/>
      <w:numFmt w:val="bullet"/>
      <w:lvlText w:val="-"/>
      <w:lvlJc w:val="left"/>
      <w:pPr>
        <w:ind w:left="720" w:hanging="360"/>
      </w:pPr>
      <w:rPr>
        <w:rFonts w:ascii="Helvetica" w:eastAsia="Droid Sans Fallback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01AB"/>
    <w:multiLevelType w:val="hybridMultilevel"/>
    <w:tmpl w:val="3B50E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E4544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MS Mincho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1367A"/>
    <w:multiLevelType w:val="hybridMultilevel"/>
    <w:tmpl w:val="2E583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70533"/>
    <w:multiLevelType w:val="hybridMultilevel"/>
    <w:tmpl w:val="56707384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51F7837"/>
    <w:multiLevelType w:val="hybridMultilevel"/>
    <w:tmpl w:val="43C2EC54"/>
    <w:lvl w:ilvl="0" w:tplc="DE9ECC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A12B8"/>
    <w:multiLevelType w:val="hybridMultilevel"/>
    <w:tmpl w:val="E29635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5438B"/>
    <w:multiLevelType w:val="hybridMultilevel"/>
    <w:tmpl w:val="F5BCBF4A"/>
    <w:lvl w:ilvl="0" w:tplc="9CDC38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4AE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353D8"/>
    <w:multiLevelType w:val="multilevel"/>
    <w:tmpl w:val="A20E753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B2032C2"/>
    <w:multiLevelType w:val="hybridMultilevel"/>
    <w:tmpl w:val="D506C3FC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8064E62"/>
    <w:multiLevelType w:val="hybridMultilevel"/>
    <w:tmpl w:val="315C27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101480"/>
    <w:multiLevelType w:val="hybridMultilevel"/>
    <w:tmpl w:val="D4D484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EB5A30"/>
    <w:multiLevelType w:val="hybridMultilevel"/>
    <w:tmpl w:val="E57A253E"/>
    <w:lvl w:ilvl="0" w:tplc="87B6F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A4AB0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1E3635"/>
    <w:multiLevelType w:val="hybridMultilevel"/>
    <w:tmpl w:val="353243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CA0B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347F0"/>
    <w:multiLevelType w:val="hybridMultilevel"/>
    <w:tmpl w:val="E3863C3E"/>
    <w:lvl w:ilvl="0" w:tplc="DAEA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D17F7"/>
    <w:multiLevelType w:val="hybridMultilevel"/>
    <w:tmpl w:val="055CFFFC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ED82085"/>
    <w:multiLevelType w:val="hybridMultilevel"/>
    <w:tmpl w:val="CE8668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6"/>
  </w:num>
  <w:num w:numId="8">
    <w:abstractNumId w:val="13"/>
  </w:num>
  <w:num w:numId="9">
    <w:abstractNumId w:val="15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77"/>
    <w:rsid w:val="00004894"/>
    <w:rsid w:val="000A74DE"/>
    <w:rsid w:val="00164677"/>
    <w:rsid w:val="001656A5"/>
    <w:rsid w:val="00233EC1"/>
    <w:rsid w:val="003D67A5"/>
    <w:rsid w:val="004254F9"/>
    <w:rsid w:val="00480B7D"/>
    <w:rsid w:val="005468A3"/>
    <w:rsid w:val="00554009"/>
    <w:rsid w:val="006B30C6"/>
    <w:rsid w:val="006C7D21"/>
    <w:rsid w:val="0074407E"/>
    <w:rsid w:val="007B7BE2"/>
    <w:rsid w:val="00845E43"/>
    <w:rsid w:val="008953FF"/>
    <w:rsid w:val="0091204D"/>
    <w:rsid w:val="00943EE3"/>
    <w:rsid w:val="009F74B6"/>
    <w:rsid w:val="00A33090"/>
    <w:rsid w:val="00B23209"/>
    <w:rsid w:val="00BA6620"/>
    <w:rsid w:val="00BB4BE1"/>
    <w:rsid w:val="00BD0D3F"/>
    <w:rsid w:val="00C8034E"/>
    <w:rsid w:val="00CA21F7"/>
    <w:rsid w:val="00DE0394"/>
    <w:rsid w:val="00DF7547"/>
    <w:rsid w:val="00E0037E"/>
    <w:rsid w:val="00E6407E"/>
    <w:rsid w:val="00E73110"/>
    <w:rsid w:val="00EE15F1"/>
    <w:rsid w:val="00F10C90"/>
    <w:rsid w:val="00F56C21"/>
    <w:rsid w:val="00F6216F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2A32-BB78-4778-A77B-BC58A36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8F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B9735A"/>
    <w:rPr>
      <w:rFonts w:ascii="Cambria" w:hAnsi="Cambria"/>
      <w:color w:val="17365D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B9735A"/>
    <w:rPr>
      <w:b/>
      <w:bCs/>
    </w:rPr>
  </w:style>
  <w:style w:type="character" w:customStyle="1" w:styleId="InternetLink">
    <w:name w:val="Internet Link"/>
    <w:rsid w:val="00164677"/>
    <w:rPr>
      <w:color w:val="000080"/>
      <w:u w:val="single"/>
    </w:rPr>
  </w:style>
  <w:style w:type="character" w:customStyle="1" w:styleId="VisitedInternetLink">
    <w:name w:val="Visited Internet Link"/>
    <w:rsid w:val="00164677"/>
    <w:rPr>
      <w:color w:val="800000"/>
      <w:u w:val="single"/>
    </w:rPr>
  </w:style>
  <w:style w:type="paragraph" w:customStyle="1" w:styleId="Heading">
    <w:name w:val="Heading"/>
    <w:basedOn w:val="Normal"/>
    <w:next w:val="TextBody"/>
    <w:rsid w:val="0016467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64677"/>
    <w:pPr>
      <w:spacing w:after="140" w:line="288" w:lineRule="auto"/>
    </w:pPr>
  </w:style>
  <w:style w:type="paragraph" w:styleId="List">
    <w:name w:val="List"/>
    <w:basedOn w:val="TextBody"/>
    <w:rsid w:val="00164677"/>
    <w:rPr>
      <w:rFonts w:cs="FreeSans"/>
    </w:rPr>
  </w:style>
  <w:style w:type="paragraph" w:customStyle="1" w:styleId="Lgende1">
    <w:name w:val="Légende1"/>
    <w:basedOn w:val="Normal"/>
    <w:rsid w:val="0016467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64677"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B9735A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TableContents">
    <w:name w:val="Table Contents"/>
    <w:basedOn w:val="Normal"/>
    <w:rsid w:val="00164677"/>
  </w:style>
  <w:style w:type="paragraph" w:customStyle="1" w:styleId="TableHeading">
    <w:name w:val="Table Heading"/>
    <w:basedOn w:val="TableContents"/>
    <w:rsid w:val="00164677"/>
  </w:style>
  <w:style w:type="table" w:styleId="TableGrid">
    <w:name w:val="Table Grid"/>
    <w:basedOn w:val="TableNormal"/>
    <w:uiPriority w:val="59"/>
    <w:rsid w:val="00B97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0D3F"/>
    <w:pPr>
      <w:ind w:left="720"/>
      <w:contextualSpacing/>
    </w:pPr>
  </w:style>
  <w:style w:type="paragraph" w:styleId="BodyText">
    <w:name w:val="Body Text"/>
    <w:basedOn w:val="Normal"/>
    <w:link w:val="BodyTextChar"/>
    <w:rsid w:val="00554009"/>
    <w:pPr>
      <w:widowControl w:val="0"/>
      <w:spacing w:after="120" w:line="240" w:lineRule="auto"/>
    </w:pPr>
    <w:rPr>
      <w:rFonts w:ascii="Thorndale AMT" w:eastAsia="Andale Sans UI" w:hAnsi="Thorndale AMT" w:cs="Times New Roman"/>
      <w:color w:val="auto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54009"/>
    <w:rPr>
      <w:rFonts w:ascii="Thorndale AMT" w:eastAsia="Andale Sans UI" w:hAnsi="Thorndale AMT" w:cs="Times New Roman"/>
      <w:kern w:val="1"/>
      <w:sz w:val="24"/>
      <w:szCs w:val="24"/>
    </w:rPr>
  </w:style>
  <w:style w:type="character" w:styleId="Emphasis">
    <w:name w:val="Emphasis"/>
    <w:qFormat/>
    <w:rsid w:val="005540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E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1717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IGBMC</Company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Marie-Dominique Devignes</dc:creator>
  <cp:lastModifiedBy>Sofia Kossida</cp:lastModifiedBy>
  <cp:revision>3</cp:revision>
  <cp:lastPrinted>2014-08-13T18:48:00Z</cp:lastPrinted>
  <dcterms:created xsi:type="dcterms:W3CDTF">2015-02-02T23:16:00Z</dcterms:created>
  <dcterms:modified xsi:type="dcterms:W3CDTF">2015-02-02T23:29:00Z</dcterms:modified>
  <dc:language>en-GB</dc:language>
</cp:coreProperties>
</file>